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MS UI Gothic" w:eastAsia="微軟正黑體"/>
          <w:lang w:val="en-US" w:eastAsia="en-US"/>
        </w:rPr>
        <w:t>敬請立即發布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1"/>
        <w:keepNext w:val="false"/>
        <w:spacing w:before="0" w:after="0"/>
        <w:jc w:val="center"/>
        <w:outlineLvl w:val="9"/>
        <w:rPr>
          <w:rFonts w:ascii="微軟正黑體" w:hAnsi="微軟正黑體" w:eastAsia="微軟正黑體"/>
          <w:sz w:val="28"/>
          <w:szCs w:val="28"/>
        </w:rPr>
      </w:pPr>
      <w:r>
        <w:rPr>
          <w:rFonts w:ascii="微軟正黑體" w:hAnsi="微軟正黑體" w:cs="PMingLiU" w:eastAsia="微軟正黑體"/>
          <w:i w:val="false"/>
          <w:sz w:val="28"/>
          <w:szCs w:val="28"/>
          <w:lang w:val="en-US" w:eastAsia="en-US"/>
        </w:rPr>
        <w:t>「訂閱疲勞」趨勢襲台！逾六成訂戶服務太多，近三成難掌握支出</w:t>
      </w:r>
    </w:p>
    <w:p>
      <w:pPr>
        <w:pStyle w:val="Normal"/>
        <w:rPr>
          <w:rFonts w:ascii="微軟正黑體" w:hAnsi="微軟正黑體" w:eastAsia="微軟正黑體"/>
          <w:sz w:val="24"/>
          <w:szCs w:val="24"/>
          <w:lang w:val="en-US" w:eastAsia="en-US"/>
        </w:rPr>
      </w:pPr>
      <w:r>
        <w:rPr>
          <w:rFonts w:eastAsia="微軟正黑體" w:ascii="微軟正黑體" w:hAnsi="微軟正黑體"/>
          <w:sz w:val="24"/>
          <w:szCs w:val="24"/>
          <w:lang w:val="en-US" w:eastAsia="en-US"/>
        </w:rPr>
      </w:r>
    </w:p>
    <w:p>
      <w:pPr>
        <w:pStyle w:val="2"/>
        <w:keepNext w:val="false"/>
        <w:spacing w:before="0" w:after="0"/>
        <w:jc w:val="center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/>
          <w:sz w:val="26"/>
          <w:szCs w:val="26"/>
          <w:lang w:val="en-US" w:eastAsia="en-US"/>
        </w:rPr>
        <w:t>大多數訂戶偏好單一解決方案，許多人願意支付更多</w:t>
      </w:r>
      <w:r>
        <w:rPr>
          <w:rFonts w:ascii="微軟正黑體" w:hAnsi="微軟正黑體" w:cs="Calibri" w:eastAsia="微軟正黑體"/>
          <w:i/>
          <w:sz w:val="26"/>
          <w:szCs w:val="26"/>
          <w:lang w:val="en-US" w:eastAsia="en-US"/>
        </w:rPr>
        <w:t>…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br/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台灣</w:t>
      </w:r>
      <w:r>
        <w:rPr>
          <w:rFonts w:ascii="微軟正黑體" w:hAnsi="微軟正黑體" w:cs="Calibri" w:eastAsia="微軟正黑體"/>
          <w:b/>
          <w:bCs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 xml:space="preserve">· 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台北</w:t>
      </w:r>
      <w:r>
        <w:rPr>
          <w:rFonts w:ascii="微軟正黑體" w:hAnsi="微軟正黑體" w:cs="Calibri" w:eastAsia="微軟正黑體"/>
          <w:b/>
          <w:bCs/>
          <w:lang w:val="en-US" w:eastAsia="en-US"/>
        </w:rPr>
        <w:t xml:space="preserve"> – 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 xml:space="preserve">2024 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年</w:t>
      </w:r>
      <w:r>
        <w:rPr>
          <w:rFonts w:ascii="微軟正黑體" w:hAnsi="微軟正黑體" w:cs="Calibri" w:eastAsia="微軟正黑體"/>
          <w:b/>
          <w:bCs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 xml:space="preserve">10 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月</w:t>
      </w:r>
      <w:r>
        <w:rPr>
          <w:rFonts w:ascii="微軟正黑體" w:hAnsi="微軟正黑體" w:cs="Calibri" w:eastAsia="微軟正黑體"/>
          <w:b/>
          <w:bCs/>
          <w:lang w:val="en-US" w:eastAsia="zh-TW"/>
        </w:rPr>
        <w:t xml:space="preserve"> </w:t>
      </w:r>
      <w:r>
        <w:rPr>
          <w:rFonts w:eastAsia="微軟正黑體" w:cs="Calibri" w:ascii="微軟正黑體" w:hAnsi="微軟正黑體"/>
          <w:b/>
          <w:bCs/>
          <w:lang w:val="en-US" w:eastAsia="zh-TW"/>
        </w:rPr>
        <w:t>8</w:t>
      </w:r>
      <w:r>
        <w:rPr>
          <w:rFonts w:eastAsia="微軟正黑體" w:cs="Calibri" w:ascii="微軟正黑體" w:hAnsi="微軟正黑體"/>
          <w:b/>
          <w:bCs/>
          <w:lang w:val="en-US" w:eastAsia="zh-TW"/>
        </w:rPr>
        <w:t xml:space="preserve"> 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日</w:t>
      </w:r>
      <w:r>
        <w:rPr>
          <w:rFonts w:ascii="微軟正黑體" w:hAnsi="微軟正黑體" w:cs="Calibri" w:eastAsia="微軟正黑體"/>
          <w:b/>
          <w:bCs/>
          <w:lang w:val="en-US" w:eastAsia="en-US"/>
        </w:rPr>
        <w:t xml:space="preserve"> –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ascii="微軟正黑體" w:hAnsi="微軟正黑體" w:cs="PMingLiU" w:eastAsia="微軟正黑體"/>
          <w:lang w:val="en-US" w:eastAsia="en-US"/>
        </w:rPr>
        <w:t>根據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Bango </w:t>
      </w:r>
      <w:r>
        <w:rPr>
          <w:rFonts w:ascii="微軟正黑體" w:hAnsi="微軟正黑體" w:cs="PMingLiU" w:eastAsia="微軟正黑體"/>
          <w:lang w:val="en-US" w:eastAsia="en-US"/>
        </w:rPr>
        <w:t>最新發佈的調查顯示，台灣消費者越來越難以管理數位訂閱服務，超過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64% </w:t>
      </w:r>
      <w:r>
        <w:rPr>
          <w:rFonts w:ascii="微軟正黑體" w:hAnsi="微軟正黑體" w:cs="PMingLiU" w:eastAsia="微軟正黑體"/>
          <w:lang w:val="en-US" w:eastAsia="en-US"/>
        </w:rPr>
        <w:t>的受訪者認為目前已有太多的選擇。許多訂戶很難掌握自己的支出，由於管理多種數位服務的複雜度與日俱增，將近三分之一的訂戶坦承，這已成為他們的真正問題。</w:t>
      </w:r>
      <w:r>
        <w:rPr>
          <w:rFonts w:eastAsia="微軟正黑體" w:cs="Calibri" w:ascii="微軟正黑體" w:hAnsi="微軟正黑體"/>
          <w:lang w:val="en-US" w:eastAsia="en-US"/>
        </w:rPr>
        <w:br/>
        <w:br/>
      </w:r>
      <w:r>
        <w:rPr>
          <w:rFonts w:ascii="微軟正黑體" w:hAnsi="微軟正黑體" w:cs="PMingLiU" w:eastAsia="微軟正黑體"/>
          <w:lang w:val="en-US" w:eastAsia="en-US"/>
        </w:rPr>
        <w:t>台灣訂戶平均每人訂閱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4.2 </w:t>
      </w:r>
      <w:r>
        <w:rPr>
          <w:rFonts w:ascii="微軟正黑體" w:hAnsi="微軟正黑體" w:cs="PMingLiU" w:eastAsia="微軟正黑體"/>
          <w:lang w:val="en-US" w:eastAsia="en-US"/>
        </w:rPr>
        <w:t>項服務，在訂閱採用率方面領先東亞地區，但越來越多人也感到自己幾乎被多項服務的複雜管理所壓垮。這項調查還發現，許多消費者希望以更有效率的方式來管理自己的訂閱服務，將近半數的受訪者願意為一個統一的平台支付額外費用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PMingLiU" w:eastAsia="微軟正黑體"/>
          <w:lang w:val="en-US" w:eastAsia="en-US"/>
        </w:rPr>
        <w:t>然而，這種趨勢並非台灣獨有，在東亞各地也面臨類似的挑戰。在南韓，</w:t>
      </w:r>
      <w:r>
        <w:rPr>
          <w:rFonts w:eastAsia="微軟正黑體" w:cs="Calibri" w:ascii="微軟正黑體" w:hAnsi="微軟正黑體"/>
          <w:lang w:val="en-US" w:eastAsia="en-US"/>
        </w:rPr>
        <w:t xml:space="preserve">65% </w:t>
      </w:r>
      <w:r>
        <w:rPr>
          <w:rFonts w:ascii="微軟正黑體" w:hAnsi="微軟正黑體" w:cs="PMingLiU" w:eastAsia="微軟正黑體"/>
          <w:lang w:val="en-US" w:eastAsia="en-US"/>
        </w:rPr>
        <w:t>的訂戶由於無法在同一地點管理所有訂閱服務而感到挫折；而在日本，</w:t>
      </w:r>
      <w:r>
        <w:rPr>
          <w:rFonts w:eastAsia="微軟正黑體" w:cs="Calibri" w:ascii="微軟正黑體" w:hAnsi="微軟正黑體"/>
          <w:lang w:val="en-US" w:eastAsia="en-US"/>
        </w:rPr>
        <w:t xml:space="preserve">68% </w:t>
      </w:r>
      <w:r>
        <w:rPr>
          <w:rFonts w:ascii="微軟正黑體" w:hAnsi="微軟正黑體" w:cs="PMingLiU" w:eastAsia="微軟正黑體"/>
          <w:lang w:val="en-US" w:eastAsia="en-US"/>
        </w:rPr>
        <w:t>的訂戶認為越來越負擔不起訂閱服務了。這凸顯了該地區對於統一且更方便的解決方案之需求日益增加。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「超級搭售」服務成為首選方案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該調查報告強調，越來越多的台灣訂戶正在尋求「超級搭售」</w:t>
      </w:r>
      <w:r>
        <w:rPr>
          <w:rFonts w:eastAsia="微軟正黑體" w:cs="Calibri" w:ascii="微軟正黑體" w:hAnsi="微軟正黑體"/>
          <w:lang w:val="en-US" w:eastAsia="en-US"/>
        </w:rPr>
        <w:t xml:space="preserve">(Super Bundling) </w:t>
      </w:r>
      <w:r>
        <w:rPr>
          <w:rFonts w:ascii="微軟正黑體" w:hAnsi="微軟正黑體" w:cs="PMingLiU" w:eastAsia="微軟正黑體"/>
          <w:lang w:val="en-US" w:eastAsia="en-US"/>
        </w:rPr>
        <w:t>解決方案，即透過單一平台管理所有的訂閱服務。這不僅簡化了訂閱體驗，也讓消費者更能夠掌控自己的支付和內容選擇。目前，</w:t>
      </w:r>
      <w:r>
        <w:rPr>
          <w:rFonts w:eastAsia="微軟正黑體" w:cs="Calibri" w:ascii="微軟正黑體" w:hAnsi="微軟正黑體"/>
          <w:lang w:val="en-US" w:eastAsia="en-US"/>
        </w:rPr>
        <w:t xml:space="preserve">Bango Digital Vending Machine® </w:t>
      </w:r>
      <w:r>
        <w:rPr>
          <w:rFonts w:ascii="微軟正黑體" w:hAnsi="微軟正黑體" w:cs="PMingLiU" w:eastAsia="微軟正黑體"/>
          <w:lang w:val="en-US" w:eastAsia="en-US"/>
        </w:rPr>
        <w:t>數位販賣機服務已獲得其他地區的主要供應商所採用，經證實能有效地提供一站式解決方案，協助訂戶輕鬆存取所喜愛的內容。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訂閱管理邁向全球趨勢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對於簡化訂閱管理的需求是全球更大發展趨勢的一部份。隨著越來越多的消費者尋求輕鬆省事的方式來管理其數位服務，提供整合訂閱平台的服務在全球越來越受歡迎。這一趨勢正迅速改變消費者與內容互動的方式，並讓我們得以一窺訂閱管理的未來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瞭解更多</w:t>
      </w:r>
    </w:p>
    <w:p>
      <w:pPr>
        <w:pStyle w:val="Normal"/>
        <w:rPr/>
      </w:pPr>
      <w:r>
        <w:rPr>
          <w:rFonts w:ascii="微軟正黑體" w:hAnsi="微軟正黑體" w:cs="PMingLiU" w:eastAsia="微軟正黑體"/>
          <w:lang w:val="en-US" w:eastAsia="en-US"/>
        </w:rPr>
        <w:t>請參閱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Bango </w:t>
      </w:r>
      <w:r>
        <w:rPr>
          <w:rFonts w:ascii="微軟正黑體" w:hAnsi="微軟正黑體" w:cs="PMingLiU" w:eastAsia="微軟正黑體"/>
          <w:lang w:val="en-US" w:eastAsia="en-US"/>
        </w:rPr>
        <w:t>的完整調查報告</w:t>
      </w:r>
      <w:r>
        <w:rPr>
          <w:rFonts w:ascii="微軟正黑體" w:hAnsi="微軟正黑體" w:cs="Calibri" w:eastAsia="微軟正黑體"/>
          <w:lang w:val="en-US" w:eastAsia="en-US"/>
        </w:rPr>
        <w:t>——</w:t>
      </w:r>
      <w:r>
        <w:rPr>
          <w:rFonts w:ascii="微軟正黑體" w:hAnsi="微軟正黑體" w:cs="PMingLiU" w:eastAsia="微軟正黑體"/>
          <w:lang w:val="en-US" w:eastAsia="en-US"/>
        </w:rPr>
        <w:t>《</w:t>
      </w:r>
      <w:hyperlink r:id="rId2" w:tgtFrame="_blank">
        <w:r>
          <w:rPr>
            <w:rFonts w:ascii="微軟正黑體" w:hAnsi="微軟正黑體" w:cs="PMingLiU" w:eastAsia="微軟正黑體"/>
            <w:color w:val="0000EE"/>
            <w:u w:val="single" w:color="0000EE"/>
            <w:lang w:val="en-US" w:eastAsia="en-US"/>
          </w:rPr>
          <w:t>訂閱大戰：東亞地區超級搭售方案的覺醒</w:t>
        </w:r>
      </w:hyperlink>
      <w:r>
        <w:rPr>
          <w:rFonts w:ascii="微軟正黑體" w:hAnsi="微軟正黑體" w:cs="PMingLiU" w:eastAsia="微軟正黑體"/>
          <w:lang w:val="en-US" w:eastAsia="en-US"/>
        </w:rPr>
        <w:t>》，免費且無需註冊。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eastAsia="微軟正黑體" w:cs="Calibri" w:ascii="微軟正黑體" w:hAnsi="微軟正黑體"/>
          <w:lang w:val="en-US" w:eastAsia="en-US"/>
        </w:rPr>
        <w:t>(</w:t>
      </w:r>
      <w:r>
        <w:rPr>
          <w:rFonts w:ascii="微軟正黑體" w:hAnsi="微軟正黑體" w:cs="PMingLiU" w:eastAsia="微軟正黑體"/>
          <w:lang w:val="en-US" w:eastAsia="en-US"/>
        </w:rPr>
        <w:t>該調查由獨立研究機構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3Gem </w:t>
      </w:r>
      <w:r>
        <w:rPr>
          <w:rFonts w:ascii="微軟正黑體" w:hAnsi="微軟正黑體" w:cs="PMingLiU" w:eastAsia="微軟正黑體"/>
          <w:lang w:val="en-US" w:eastAsia="en-US"/>
        </w:rPr>
        <w:t>進行，揭示了來自日本、韓國和台灣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5,000 </w:t>
      </w:r>
      <w:r>
        <w:rPr>
          <w:rFonts w:ascii="微軟正黑體" w:hAnsi="微軟正黑體" w:cs="PMingLiU" w:eastAsia="微軟正黑體"/>
          <w:lang w:val="en-US" w:eastAsia="en-US"/>
        </w:rPr>
        <w:t>名訂閱服務用戶的期望和想法。該報告由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Bango </w:t>
      </w:r>
      <w:r>
        <w:rPr>
          <w:rFonts w:ascii="微軟正黑體" w:hAnsi="微軟正黑體" w:cs="PMingLiU" w:eastAsia="微軟正黑體"/>
          <w:lang w:val="en-US" w:eastAsia="en-US"/>
        </w:rPr>
        <w:t>委託進行，主題為《訂閱大戰：東亞地區超級搭售方案的覺醒》，於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2024 </w:t>
      </w:r>
      <w:r>
        <w:rPr>
          <w:rFonts w:ascii="微軟正黑體" w:hAnsi="微軟正黑體" w:cs="PMingLiU" w:eastAsia="微軟正黑體"/>
          <w:lang w:val="en-US" w:eastAsia="en-US"/>
        </w:rPr>
        <w:t>年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8 </w:t>
      </w:r>
      <w:r>
        <w:rPr>
          <w:rFonts w:ascii="微軟正黑體" w:hAnsi="微軟正黑體" w:cs="PMingLiU" w:eastAsia="微軟正黑體"/>
          <w:lang w:val="en-US" w:eastAsia="en-US"/>
        </w:rPr>
        <w:t>月在東亞進行，並於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2024 </w:t>
      </w:r>
      <w:r>
        <w:rPr>
          <w:rFonts w:ascii="微軟正黑體" w:hAnsi="微軟正黑體" w:cs="PMingLiU" w:eastAsia="微軟正黑體"/>
          <w:lang w:val="en-US" w:eastAsia="en-US"/>
        </w:rPr>
        <w:t>年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9 </w:t>
      </w:r>
      <w:r>
        <w:rPr>
          <w:rFonts w:ascii="微軟正黑體" w:hAnsi="微軟正黑體" w:cs="PMingLiU" w:eastAsia="微軟正黑體"/>
          <w:lang w:val="en-US" w:eastAsia="en-US"/>
        </w:rPr>
        <w:t>月發表</w:t>
      </w:r>
      <w:r>
        <w:rPr>
          <w:rFonts w:eastAsia="微軟正黑體" w:cs="Calibri" w:ascii="微軟正黑體" w:hAnsi="微軟正黑體"/>
          <w:lang w:val="en-US" w:eastAsia="en-US"/>
        </w:rPr>
        <w:t>)</w:t>
      </w:r>
      <w:r>
        <w:rPr>
          <w:rFonts w:ascii="微軟正黑體" w:hAnsi="微軟正黑體" w:cs="PMingLiU" w:eastAsia="微軟正黑體"/>
          <w:lang w:val="en-US" w:eastAsia="en-US"/>
        </w:rPr>
        <w:t>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關於</w:t>
      </w: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>Bango</w:t>
      </w:r>
    </w:p>
    <w:p>
      <w:pPr>
        <w:pStyle w:val="Normal"/>
        <w:rPr/>
      </w:pPr>
      <w:r>
        <w:rPr>
          <w:rFonts w:eastAsia="微軟正黑體" w:cs="Calibri" w:ascii="微軟正黑體" w:hAnsi="微軟正黑體"/>
          <w:lang w:val="en-US" w:eastAsia="en-US"/>
        </w:rPr>
        <w:t xml:space="preserve">Bango </w:t>
      </w:r>
      <w:r>
        <w:rPr>
          <w:rFonts w:ascii="微軟正黑體" w:hAnsi="微軟正黑體" w:cs="PMingLiU" w:eastAsia="微軟正黑體"/>
          <w:lang w:val="en-US" w:eastAsia="en-US"/>
        </w:rPr>
        <w:t>透過全球合作夥伴關係，協助內容供應商觸及更多付費訂戶。</w:t>
      </w:r>
      <w:r>
        <w:rPr>
          <w:rFonts w:eastAsia="微軟正黑體" w:cs="Calibri" w:ascii="微軟正黑體" w:hAnsi="微軟正黑體"/>
          <w:lang w:val="en-US" w:eastAsia="en-US"/>
        </w:rPr>
        <w:t>Bango</w:t>
      </w:r>
      <w:r>
        <w:rPr>
          <w:rFonts w:ascii="微軟正黑體" w:hAnsi="微軟正黑體" w:cs="PMingLiU" w:eastAsia="微軟正黑體"/>
          <w:lang w:val="en-US" w:eastAsia="en-US"/>
        </w:rPr>
        <w:t>向全球手機用戶開放線上支付，徹底改變了數位內容和服務的變現方式。如今，</w:t>
      </w:r>
      <w:r>
        <w:rPr>
          <w:rFonts w:eastAsia="微軟正黑體" w:cs="Calibri" w:ascii="微軟正黑體" w:hAnsi="微軟正黑體"/>
          <w:lang w:val="en-US" w:eastAsia="en-US"/>
        </w:rPr>
        <w:t xml:space="preserve">Bango Digital Vending Machine® </w:t>
      </w:r>
      <w:r>
        <w:rPr>
          <w:rFonts w:ascii="微軟正黑體" w:hAnsi="微軟正黑體" w:cs="PMingLiU" w:eastAsia="微軟正黑體"/>
          <w:lang w:val="en-US" w:eastAsia="en-US"/>
        </w:rPr>
        <w:t>數位販賣機服務正推動訂閱經濟的快速發展，為訂戶提供選擇和控制。全球最大的內容供應商，包括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>Amazon</w:t>
      </w:r>
      <w:r>
        <w:rPr>
          <w:rFonts w:ascii="微軟正黑體" w:hAnsi="微軟正黑體" w:cs="PMingLiU" w:eastAsia="微軟正黑體"/>
          <w:lang w:val="en-US" w:eastAsia="en-US"/>
        </w:rPr>
        <w:t>、</w:t>
      </w:r>
      <w:r>
        <w:rPr>
          <w:rFonts w:eastAsia="微軟正黑體" w:cs="Calibri" w:ascii="微軟正黑體" w:hAnsi="微軟正黑體"/>
          <w:lang w:val="en-US" w:eastAsia="en-US"/>
        </w:rPr>
        <w:t xml:space="preserve">Google </w:t>
      </w:r>
      <w:r>
        <w:rPr>
          <w:rFonts w:ascii="微軟正黑體" w:hAnsi="微軟正黑體" w:cs="PMingLiU" w:eastAsia="微軟正黑體"/>
          <w:lang w:val="en-US" w:eastAsia="en-US"/>
        </w:rPr>
        <w:t>和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Microsoft </w:t>
      </w:r>
      <w:r>
        <w:rPr>
          <w:rFonts w:ascii="微軟正黑體" w:hAnsi="微軟正黑體" w:cs="PMingLiU" w:eastAsia="微軟正黑體"/>
          <w:lang w:val="en-US" w:eastAsia="en-US"/>
        </w:rPr>
        <w:t>均信任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Bango </w:t>
      </w:r>
      <w:r>
        <w:rPr>
          <w:rFonts w:ascii="微軟正黑體" w:hAnsi="微軟正黑體" w:cs="PMingLiU" w:eastAsia="微軟正黑體"/>
          <w:lang w:val="en-US" w:eastAsia="en-US"/>
        </w:rPr>
        <w:t>的技術，讓訂戶無處不在。「</w:t>
      </w:r>
      <w:r>
        <w:rPr>
          <w:rFonts w:eastAsia="微軟正黑體" w:cs="Calibri" w:ascii="微軟正黑體" w:hAnsi="微軟正黑體"/>
          <w:lang w:val="en-US" w:eastAsia="en-US"/>
        </w:rPr>
        <w:t>Bango</w:t>
      </w:r>
      <w:r>
        <w:rPr>
          <w:rFonts w:ascii="微軟正黑體" w:hAnsi="微軟正黑體" w:cs="PMingLiU" w:eastAsia="微軟正黑體"/>
          <w:lang w:val="en-US" w:eastAsia="en-US"/>
        </w:rPr>
        <w:t>，訂閱服務從此開始！」</w:t>
      </w:r>
      <w:r>
        <w:rPr>
          <w:rFonts w:eastAsia="微軟正黑體" w:cs="Calibri" w:ascii="微軟正黑體" w:hAnsi="微軟正黑體"/>
          <w:lang w:val="en-US" w:eastAsia="en-US"/>
        </w:rPr>
        <w:t>(Bango, where people subscribe)</w:t>
      </w:r>
      <w:r>
        <w:rPr>
          <w:rFonts w:ascii="微軟正黑體" w:hAnsi="微軟正黑體" w:cs="PMingLiU" w:eastAsia="微軟正黑體"/>
          <w:lang w:val="en-US" w:eastAsia="en-US"/>
        </w:rPr>
        <w:t>。如需更多資訊，請造訪：</w:t>
      </w:r>
      <w:hyperlink r:id="rId3" w:tgtFrame="_blank">
        <w:r>
          <w:rPr>
            <w:rFonts w:eastAsia="微軟正黑體" w:cs="Calibri" w:ascii="微軟正黑體" w:hAnsi="微軟正黑體"/>
            <w:color w:val="0000EE"/>
            <w:u w:val="single" w:color="0000EE"/>
            <w:lang w:val="en-US" w:eastAsia="en-US"/>
          </w:rPr>
          <w:t>https://bango.com/</w:t>
        </w:r>
      </w:hyperlink>
      <w:r>
        <w:rPr>
          <w:rFonts w:ascii="微軟正黑體" w:hAnsi="微軟正黑體" w:cs="PMingLiU" w:eastAsia="微軟正黑體"/>
          <w:lang w:val="en-US" w:eastAsia="en-US"/>
        </w:rPr>
        <w:t>。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微軟正黑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ngo.com/resources/subscription-wars-japan-korea-taiwan-tw/?utm_source=bgoext&amp;utm_medium=ppr&amp;utm_campaign=sf-ppr-r-swsbaea1024&amp;utm_content=021024" TargetMode="External"/><Relationship Id="rId3" Type="http://schemas.openxmlformats.org/officeDocument/2006/relationships/hyperlink" Target="https://bango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995</Words>
  <Characters>1174</Characters>
  <CharactersWithSpaces>1248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2024-10-01T09:59:29Z</dcterms:modified>
  <cp:revision>3</cp:revision>
  <dc:subject/>
  <dc:title>「訂閱疲勞」趨勢襲台！逾六成訂戶服務太多，近三成難掌握支出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