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t xml:space="preserve">FOR IMMEDIATE RELEASE </w: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1"/>
        <w:keepNext w:val="false"/>
        <w:spacing w:before="0" w:after="0"/>
        <w:jc w:val="center"/>
        <w:outlineLvl w:val="9"/>
        <w:rPr>
          <w:rFonts w:ascii="微軟正黑體" w:hAnsi="微軟正黑體" w:eastAsia="微軟正黑體"/>
          <w:sz w:val="28"/>
          <w:szCs w:val="28"/>
        </w:rPr>
      </w:pPr>
      <w:r>
        <w:rPr>
          <w:rFonts w:eastAsia="微軟正黑體" w:cs="Times New Roman" w:ascii="微軟正黑體" w:hAnsi="微軟正黑體"/>
          <w:i w:val="false"/>
          <w:sz w:val="28"/>
          <w:szCs w:val="28"/>
          <w:lang w:val="en-US" w:eastAsia="en-US"/>
        </w:rPr>
        <w:t>Kontron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重磅回歸</w:t>
      </w:r>
      <w:r>
        <w:rPr>
          <w:rFonts w:eastAsia="微軟正黑體" w:cs="Times New Roman" w:ascii="微軟正黑體" w:hAnsi="微軟正黑體"/>
          <w:i w:val="false"/>
          <w:sz w:val="28"/>
          <w:szCs w:val="28"/>
          <w:lang w:val="en-US" w:eastAsia="en-US"/>
        </w:rPr>
        <w:t>COMPUTEX 2024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盛會</w:t>
      </w:r>
      <w:r>
        <w:rPr>
          <w:rFonts w:ascii="微軟正黑體" w:hAnsi="微軟正黑體" w:cs="Times New Roman" w:eastAsia="微軟正黑體"/>
          <w:i w:val="false"/>
          <w:sz w:val="28"/>
          <w:szCs w:val="28"/>
          <w:lang w:val="en-US" w:eastAsia="en-US"/>
        </w:rPr>
        <w:t xml:space="preserve"> 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聚焦多項領先業界的關鍵技術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br/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台北，台灣，</w:t>
      </w:r>
      <w:r>
        <w:rPr>
          <w:rFonts w:eastAsia="微軟正黑體" w:ascii="微軟正黑體" w:hAnsi="微軟正黑體"/>
          <w:b/>
          <w:bCs/>
          <w:lang w:val="en-US" w:eastAsia="en-US"/>
        </w:rPr>
        <w:t>2024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年</w:t>
      </w:r>
      <w:r>
        <w:rPr>
          <w:rFonts w:eastAsia="微軟正黑體" w:ascii="微軟正黑體" w:hAnsi="微軟正黑體"/>
          <w:b/>
          <w:bCs/>
          <w:lang w:val="en-US" w:eastAsia="en-US"/>
        </w:rPr>
        <w:t>5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月</w:t>
      </w:r>
      <w:r>
        <w:rPr>
          <w:rFonts w:eastAsia="微軟正黑體" w:ascii="微軟正黑體" w:hAnsi="微軟正黑體"/>
          <w:b/>
          <w:bCs/>
          <w:lang w:val="en-US" w:eastAsia="en-US"/>
        </w:rPr>
        <w:t>21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日</w:t>
      </w:r>
      <w:r>
        <w:rPr>
          <w:rFonts w:ascii="微軟正黑體" w:hAnsi="微軟正黑體" w:eastAsia="微軟正黑體"/>
          <w:b/>
          <w:bCs/>
          <w:lang w:val="en-US" w:eastAsia="en-US"/>
        </w:rPr>
        <w:t xml:space="preserve"> —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ascii="微軟正黑體" w:hAnsi="微軟正黑體" w:cs="MS UI Gothic" w:eastAsia="微軟正黑體"/>
          <w:lang w:val="en-US" w:eastAsia="en-US"/>
        </w:rPr>
        <w:t>全球物聯網與嵌入式運算技術領導品牌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睽違多年將再次回歸台北國際電腦展</w:t>
      </w:r>
      <w:r>
        <w:rPr>
          <w:rFonts w:eastAsia="微軟正黑體" w:ascii="微軟正黑體" w:hAnsi="微軟正黑體"/>
          <w:lang w:val="en-US" w:eastAsia="en-US"/>
        </w:rPr>
        <w:t>COMPUTEX 2024</w:t>
      </w:r>
      <w:r>
        <w:rPr>
          <w:rFonts w:ascii="微軟正黑體" w:hAnsi="微軟正黑體" w:cs="MS UI Gothic" w:eastAsia="微軟正黑體"/>
          <w:lang w:val="en-US" w:eastAsia="en-US"/>
        </w:rPr>
        <w:t>盛會，除了展示各種嵌入式機板與系統外，更將重點聚焦在多項領先業界的關鍵技術，包括</w:t>
      </w:r>
      <w:r>
        <w:rPr>
          <w:rFonts w:eastAsia="微軟正黑體" w:ascii="微軟正黑體" w:hAnsi="微軟正黑體"/>
          <w:lang w:val="en-US" w:eastAsia="en-US"/>
        </w:rPr>
        <w:t>COM-HPC</w:t>
      </w:r>
      <w:r>
        <w:rPr>
          <w:rFonts w:ascii="微軟正黑體" w:hAnsi="微軟正黑體" w:cs="MS UI Gothic" w:eastAsia="微軟正黑體"/>
          <w:lang w:val="en-US" w:eastAsia="en-US"/>
        </w:rPr>
        <w:t>高效能運算電腦模組、</w:t>
      </w:r>
      <w:r>
        <w:rPr>
          <w:rFonts w:eastAsia="微軟正黑體" w:ascii="微軟正黑體" w:hAnsi="微軟正黑體"/>
          <w:lang w:val="en-US" w:eastAsia="en-US"/>
        </w:rPr>
        <w:t>OSM SoM</w:t>
      </w:r>
      <w:r>
        <w:rPr>
          <w:rFonts w:ascii="微軟正黑體" w:hAnsi="微軟正黑體" w:cs="MS UI Gothic" w:eastAsia="微軟正黑體"/>
          <w:lang w:val="en-US" w:eastAsia="en-US"/>
        </w:rPr>
        <w:t>基於開放式標準模組規範之系統模組、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行動連網解決方案以及工業軟體與數位轉型解決方案。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COM-HPC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高效能運算電腦模組</w:t>
      </w:r>
    </w:p>
    <w:p>
      <w:pPr>
        <w:pStyle w:val="Normal"/>
        <w:rPr/>
      </w:pP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不僅是</w:t>
      </w:r>
      <w:r>
        <w:rPr>
          <w:rFonts w:eastAsia="微軟正黑體" w:ascii="微軟正黑體" w:hAnsi="微軟正黑體"/>
          <w:lang w:val="en-US" w:eastAsia="en-US"/>
        </w:rPr>
        <w:t>PICMG</w:t>
      </w:r>
      <w:r>
        <w:rPr>
          <w:rFonts w:ascii="微軟正黑體" w:hAnsi="微軟正黑體" w:cs="MS UI Gothic" w:eastAsia="微軟正黑體"/>
          <w:lang w:val="en-US" w:eastAsia="en-US"/>
        </w:rPr>
        <w:t>工業電腦製造商組織的成員之一，更是</w:t>
      </w:r>
      <w:r>
        <w:rPr>
          <w:rFonts w:eastAsia="微軟正黑體" w:ascii="微軟正黑體" w:hAnsi="微軟正黑體"/>
          <w:lang w:val="en-US" w:eastAsia="en-US"/>
        </w:rPr>
        <w:t>COM-HPC</w:t>
      </w:r>
      <w:r>
        <w:rPr>
          <w:rFonts w:ascii="微軟正黑體" w:hAnsi="微軟正黑體" w:cs="MS UI Gothic" w:eastAsia="微軟正黑體"/>
          <w:lang w:val="en-US" w:eastAsia="en-US"/>
        </w:rPr>
        <w:t>技術小組委員會的成員與發起人之一。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將於</w:t>
      </w:r>
      <w:r>
        <w:rPr>
          <w:rFonts w:eastAsia="微軟正黑體" w:ascii="微軟正黑體" w:hAnsi="微軟正黑體"/>
          <w:lang w:val="en-US" w:eastAsia="en-US"/>
        </w:rPr>
        <w:t>COMPUTEX</w:t>
      </w:r>
      <w:r>
        <w:rPr>
          <w:rFonts w:ascii="微軟正黑體" w:hAnsi="微軟正黑體" w:cs="MS UI Gothic" w:eastAsia="微軟正黑體"/>
          <w:lang w:val="en-US" w:eastAsia="en-US"/>
        </w:rPr>
        <w:t>展示多款</w:t>
      </w:r>
      <w:r>
        <w:rPr>
          <w:rFonts w:eastAsia="微軟正黑體" w:ascii="微軟正黑體" w:hAnsi="微軟正黑體"/>
          <w:lang w:val="en-US" w:eastAsia="en-US"/>
        </w:rPr>
        <w:t>COM-HPC</w:t>
      </w:r>
      <w:r>
        <w:rPr>
          <w:rFonts w:ascii="微軟正黑體" w:hAnsi="微軟正黑體" w:cs="MS UI Gothic" w:eastAsia="微軟正黑體"/>
          <w:lang w:val="en-US" w:eastAsia="en-US"/>
        </w:rPr>
        <w:t>用</w:t>
      </w:r>
      <w:r>
        <w:rPr>
          <w:rFonts w:ascii="微軟正黑體" w:hAnsi="微軟正黑體" w:cs="PMingLiU" w:eastAsia="微軟正黑體"/>
          <w:lang w:val="en-US" w:eastAsia="en-US"/>
        </w:rPr>
        <w:t>戶</w:t>
      </w:r>
      <w:r>
        <w:rPr>
          <w:rFonts w:ascii="微軟正黑體" w:hAnsi="微軟正黑體" w:cs="MS UI Gothic" w:eastAsia="微軟正黑體"/>
          <w:lang w:val="en-US" w:eastAsia="en-US"/>
        </w:rPr>
        <w:t>端級與伺服器級的電腦模組，包含</w:t>
      </w:r>
      <w:hyperlink r:id="rId2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COMh-ccAS</w:t>
        </w:r>
      </w:hyperlink>
      <w:r>
        <w:rPr>
          <w:rFonts w:ascii="微軟正黑體" w:hAnsi="微軟正黑體" w:cs="MS UI Gothic" w:eastAsia="微軟正黑體"/>
          <w:lang w:val="en-US" w:eastAsia="en-US"/>
        </w:rPr>
        <w:t>、</w:t>
      </w:r>
      <w:hyperlink r:id="rId3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COMh-caAP</w:t>
        </w:r>
      </w:hyperlink>
      <w:r>
        <w:rPr>
          <w:rFonts w:ascii="微軟正黑體" w:hAnsi="微軟正黑體" w:cs="MS UI Gothic" w:eastAsia="微軟正黑體"/>
          <w:lang w:val="en-US" w:eastAsia="en-US"/>
        </w:rPr>
        <w:t>以及</w:t>
      </w:r>
      <w:hyperlink r:id="rId4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COMh-sdID</w:t>
        </w:r>
      </w:hyperlink>
      <w:r>
        <w:rPr>
          <w:rFonts w:ascii="微軟正黑體" w:hAnsi="微軟正黑體" w:cs="MS UI Gothic" w:eastAsia="微軟正黑體"/>
          <w:lang w:val="en-US" w:eastAsia="en-US"/>
        </w:rPr>
        <w:t>，協助系統開發商打造高運算效能的智慧化系統，以符合人工智慧崛起後所需的影像分析能力。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OSM SoM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基於開放式標準模組規範之系統模組</w:t>
      </w:r>
    </w:p>
    <w:p>
      <w:pPr>
        <w:pStyle w:val="Normal"/>
        <w:rPr/>
      </w:pPr>
      <w:r>
        <w:rPr>
          <w:rFonts w:ascii="微軟正黑體" w:hAnsi="微軟正黑體" w:cs="MS UI Gothic" w:eastAsia="微軟正黑體"/>
          <w:lang w:val="en-US" w:eastAsia="en-US"/>
        </w:rPr>
        <w:t>嵌入式技術標準化組織（</w:t>
      </w:r>
      <w:r>
        <w:rPr>
          <w:rFonts w:eastAsia="微軟正黑體" w:ascii="微軟正黑體" w:hAnsi="微軟正黑體"/>
          <w:lang w:val="en-US" w:eastAsia="en-US"/>
        </w:rPr>
        <w:t>SGET</w:t>
      </w:r>
      <w:r>
        <w:rPr>
          <w:rFonts w:ascii="微軟正黑體" w:hAnsi="微軟正黑體" w:cs="MS UI Gothic" w:eastAsia="微軟正黑體"/>
          <w:lang w:val="en-US" w:eastAsia="en-US"/>
        </w:rPr>
        <w:t>）所制定的開放式標準模組（</w:t>
      </w:r>
      <w:r>
        <w:rPr>
          <w:rFonts w:eastAsia="微軟正黑體" w:ascii="微軟正黑體" w:hAnsi="微軟正黑體"/>
          <w:lang w:val="en-US" w:eastAsia="en-US"/>
        </w:rPr>
        <w:t>OSM</w:t>
      </w:r>
      <w:r>
        <w:rPr>
          <w:rFonts w:ascii="微軟正黑體" w:hAnsi="微軟正黑體" w:cs="MS UI Gothic" w:eastAsia="微軟正黑體"/>
          <w:lang w:val="en-US" w:eastAsia="en-US"/>
        </w:rPr>
        <w:t>）是系統模組業界的一個最新標準，是一種結合微處理器（</w:t>
      </w:r>
      <w:r>
        <w:rPr>
          <w:rFonts w:eastAsia="微軟正黑體" w:ascii="微軟正黑體" w:hAnsi="微軟正黑體"/>
          <w:lang w:val="en-US" w:eastAsia="en-US"/>
        </w:rPr>
        <w:t>CPU</w:t>
      </w:r>
      <w:r>
        <w:rPr>
          <w:rFonts w:ascii="微軟正黑體" w:hAnsi="微軟正黑體" w:cs="MS UI Gothic" w:eastAsia="微軟正黑體"/>
          <w:lang w:val="en-US" w:eastAsia="en-US"/>
        </w:rPr>
        <w:t>）、快閃記憶體（</w:t>
      </w:r>
      <w:r>
        <w:rPr>
          <w:rFonts w:eastAsia="微軟正黑體" w:ascii="微軟正黑體" w:hAnsi="微軟正黑體"/>
          <w:lang w:val="en-US" w:eastAsia="en-US"/>
        </w:rPr>
        <w:t>Flash</w:t>
      </w:r>
      <w:r>
        <w:rPr>
          <w:rFonts w:ascii="微軟正黑體" w:hAnsi="微軟正黑體" w:cs="MS UI Gothic" w:eastAsia="微軟正黑體"/>
          <w:lang w:val="en-US" w:eastAsia="en-US"/>
        </w:rPr>
        <w:t>）、隨機存取記憶體（</w:t>
      </w:r>
      <w:r>
        <w:rPr>
          <w:rFonts w:eastAsia="微軟正黑體" w:ascii="微軟正黑體" w:hAnsi="微軟正黑體"/>
          <w:lang w:val="en-US" w:eastAsia="en-US"/>
        </w:rPr>
        <w:t>RAM</w:t>
      </w:r>
      <w:r>
        <w:rPr>
          <w:rFonts w:ascii="微軟正黑體" w:hAnsi="微軟正黑體" w:cs="MS UI Gothic" w:eastAsia="微軟正黑體"/>
          <w:lang w:val="en-US" w:eastAsia="en-US"/>
        </w:rPr>
        <w:t>）與電源模組等單元於一個迷你印刷電路板上的小型、低成本的嵌入式模組。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是該領域的領先廠商之一，將於</w:t>
      </w:r>
      <w:r>
        <w:rPr>
          <w:rFonts w:eastAsia="微軟正黑體" w:ascii="微軟正黑體" w:hAnsi="微軟正黑體"/>
          <w:lang w:val="en-US" w:eastAsia="en-US"/>
        </w:rPr>
        <w:t>COMPUTEX</w:t>
      </w:r>
      <w:r>
        <w:rPr>
          <w:rFonts w:ascii="微軟正黑體" w:hAnsi="微軟正黑體" w:cs="MS UI Gothic" w:eastAsia="微軟正黑體"/>
          <w:lang w:val="en-US" w:eastAsia="en-US"/>
        </w:rPr>
        <w:t>展出從模組本身到主板與系統層級整合的各種</w:t>
      </w:r>
      <w:hyperlink r:id="rId5" w:tgtFrame="_blank">
        <w:r>
          <w:rPr>
            <w:rFonts w:ascii="微軟正黑體" w:hAnsi="微軟正黑體" w:cs="MS UI Gothic" w:eastAsia="微軟正黑體"/>
            <w:color w:val="0000EE"/>
            <w:u w:val="single" w:color="0000EE"/>
            <w:lang w:val="en-US" w:eastAsia="en-US"/>
          </w:rPr>
          <w:t>系統模組</w:t>
        </w:r>
      </w:hyperlink>
      <w:r>
        <w:rPr>
          <w:rFonts w:ascii="微軟正黑體" w:hAnsi="微軟正黑體" w:cs="MS UI Gothic" w:eastAsia="微軟正黑體"/>
          <w:lang w:val="en-US" w:eastAsia="en-US"/>
        </w:rPr>
        <w:t>相關的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品，以滿足不同開發者類型的需求。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5G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行動連網解決方案</w:t>
      </w:r>
    </w:p>
    <w:p>
      <w:pPr>
        <w:pStyle w:val="Normal"/>
        <w:rPr/>
      </w:pPr>
      <w:r>
        <w:rPr>
          <w:rFonts w:ascii="微軟正黑體" w:hAnsi="微軟正黑體" w:cs="MS UI Gothic" w:eastAsia="微軟正黑體"/>
          <w:lang w:val="en-US" w:eastAsia="en-US"/>
        </w:rPr>
        <w:t>車規級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網路存取裝置是聯網汽車與自動駕駛等新興應用的重要關鍵裝置，可以幫助工業領域的生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操作變得更加靈活和高效，同時提高安全性並降低維護成本。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將於</w:t>
      </w:r>
      <w:r>
        <w:rPr>
          <w:rFonts w:eastAsia="微軟正黑體" w:ascii="微軟正黑體" w:hAnsi="微軟正黑體"/>
          <w:lang w:val="en-US" w:eastAsia="en-US"/>
        </w:rPr>
        <w:t>COMPUTEX</w:t>
      </w:r>
      <w:r>
        <w:rPr>
          <w:rFonts w:ascii="微軟正黑體" w:hAnsi="微軟正黑體" w:cs="MS UI Gothic" w:eastAsia="微軟正黑體"/>
          <w:lang w:val="en-US" w:eastAsia="en-US"/>
        </w:rPr>
        <w:t>展示最新的</w:t>
      </w:r>
      <w:hyperlink r:id="rId6" w:tgtFrame="_blank">
        <w:r>
          <w:rPr>
            <w:rFonts w:ascii="微軟正黑體" w:hAnsi="微軟正黑體" w:cs="MS UI Gothic" w:eastAsia="微軟正黑體"/>
            <w:color w:val="0000EE"/>
            <w:u w:val="single" w:color="0000EE"/>
            <w:lang w:val="en-US" w:eastAsia="en-US"/>
          </w:rPr>
          <w:t>車規級</w:t>
        </w:r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5G</w:t>
        </w:r>
        <w:r>
          <w:rPr>
            <w:rFonts w:ascii="微軟正黑體" w:hAnsi="微軟正黑體" w:cs="MS UI Gothic" w:eastAsia="微軟正黑體"/>
            <w:color w:val="0000EE"/>
            <w:u w:val="single" w:color="0000EE"/>
            <w:lang w:val="en-US" w:eastAsia="en-US"/>
          </w:rPr>
          <w:t>行動模組</w:t>
        </w:r>
      </w:hyperlink>
      <w:r>
        <w:rPr>
          <w:rFonts w:ascii="微軟正黑體" w:hAnsi="微軟正黑體" w:cs="MS UI Gothic" w:eastAsia="微軟正黑體"/>
          <w:lang w:val="en-US" w:eastAsia="en-US"/>
        </w:rPr>
        <w:t>，協助業者打造一個無縫物聯網與車聯網應用體系。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工業軟體與數位轉型解決方案</w:t>
      </w:r>
    </w:p>
    <w:p>
      <w:pPr>
        <w:pStyle w:val="Normal"/>
        <w:rPr/>
      </w:pP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近年致力於深化軟硬體整合解決方案的能力，除了原本就底氣深厚的硬體研發創新能力外，在軟體與應用整合技術能力上，同樣在市場上具有標竿及領導性地位。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將於</w:t>
      </w:r>
      <w:r>
        <w:rPr>
          <w:rFonts w:eastAsia="微軟正黑體" w:ascii="微軟正黑體" w:hAnsi="微軟正黑體"/>
          <w:lang w:val="en-US" w:eastAsia="en-US"/>
        </w:rPr>
        <w:t>COMPUTEX</w:t>
      </w:r>
      <w:r>
        <w:rPr>
          <w:rFonts w:ascii="微軟正黑體" w:hAnsi="微軟正黑體" w:cs="MS UI Gothic" w:eastAsia="微軟正黑體"/>
          <w:lang w:val="en-US" w:eastAsia="en-US"/>
        </w:rPr>
        <w:t>展示</w:t>
      </w:r>
      <w:hyperlink r:id="rId7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EquipmentCloud®</w:t>
        </w:r>
        <w:r>
          <w:rPr>
            <w:rFonts w:ascii="微軟正黑體" w:hAnsi="微軟正黑體" w:cs="MS UI Gothic" w:eastAsia="微軟正黑體"/>
            <w:color w:val="0000EE"/>
            <w:u w:val="single" w:color="0000EE"/>
            <w:lang w:val="en-US" w:eastAsia="en-US"/>
          </w:rPr>
          <w:t>機械工程服務與售後支援之數位轉型</w:t>
        </w:r>
      </w:hyperlink>
      <w:r>
        <w:rPr>
          <w:rFonts w:ascii="微軟正黑體" w:hAnsi="微軟正黑體" w:cs="MS UI Gothic" w:eastAsia="微軟正黑體"/>
          <w:lang w:val="en-US" w:eastAsia="en-US"/>
        </w:rPr>
        <w:t>與</w:t>
      </w:r>
      <w:hyperlink r:id="rId8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K-PORT</w:t>
        </w:r>
        <w:r>
          <w:rPr>
            <w:rFonts w:ascii="微軟正黑體" w:hAnsi="微軟正黑體" w:cs="MS UI Gothic" w:eastAsia="微軟正黑體"/>
            <w:color w:val="0000EE"/>
            <w:u w:val="single" w:color="0000EE"/>
            <w:lang w:val="en-US" w:eastAsia="en-US"/>
          </w:rPr>
          <w:t>邊緣裝置節點管理</w:t>
        </w:r>
      </w:hyperlink>
      <w:r>
        <w:rPr>
          <w:rFonts w:ascii="微軟正黑體" w:hAnsi="微軟正黑體" w:cs="MS UI Gothic" w:eastAsia="微軟正黑體"/>
          <w:lang w:val="en-US" w:eastAsia="en-US"/>
        </w:rPr>
        <w:t>等兩款應用解決方案，協助廠商邁向未來的智慧製造。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邊緣人工智慧應用展示</w:t>
      </w:r>
    </w:p>
    <w:p>
      <w:pPr>
        <w:pStyle w:val="Normal"/>
        <w:rPr/>
      </w:pP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將於</w:t>
      </w:r>
      <w:r>
        <w:rPr>
          <w:rFonts w:eastAsia="微軟正黑體" w:ascii="微軟正黑體" w:hAnsi="微軟正黑體"/>
          <w:lang w:val="en-US" w:eastAsia="en-US"/>
        </w:rPr>
        <w:t>COMPUTEX</w:t>
      </w:r>
      <w:r>
        <w:rPr>
          <w:rFonts w:ascii="微軟正黑體" w:hAnsi="微軟正黑體" w:cs="MS UI Gothic" w:eastAsia="微軟正黑體"/>
          <w:lang w:val="en-US" w:eastAsia="en-US"/>
        </w:rPr>
        <w:t>展示多款具有不同繪圖運算效能與人工智慧推論能力的工業電腦，包括</w:t>
      </w:r>
      <w:r>
        <w:rPr>
          <w:rFonts w:ascii="微軟正黑體" w:hAnsi="微軟正黑體" w:cs="PMingLiU" w:eastAsia="微軟正黑體"/>
          <w:lang w:val="en-US" w:eastAsia="en-US"/>
        </w:rPr>
        <w:t>內</w:t>
      </w:r>
      <w:r>
        <w:rPr>
          <w:rFonts w:ascii="微軟正黑體" w:hAnsi="微軟正黑體" w:cs="MS UI Gothic" w:eastAsia="微軟正黑體"/>
          <w:lang w:val="en-US" w:eastAsia="en-US"/>
        </w:rPr>
        <w:t>建</w:t>
      </w:r>
      <w:r>
        <w:rPr>
          <w:rFonts w:eastAsia="微軟正黑體" w:ascii="微軟正黑體" w:hAnsi="微軟正黑體"/>
          <w:lang w:val="en-US" w:eastAsia="en-US"/>
        </w:rPr>
        <w:t>GPU</w:t>
      </w:r>
      <w:r>
        <w:rPr>
          <w:rFonts w:ascii="微軟正黑體" w:hAnsi="微軟正黑體" w:cs="MS UI Gothic" w:eastAsia="微軟正黑體"/>
          <w:lang w:val="en-US" w:eastAsia="en-US"/>
        </w:rPr>
        <w:t>與</w:t>
      </w:r>
      <w:r>
        <w:rPr>
          <w:rFonts w:ascii="微軟正黑體" w:hAnsi="微軟正黑體" w:cs="PMingLiU" w:eastAsia="微軟正黑體"/>
          <w:lang w:val="en-US" w:eastAsia="en-US"/>
        </w:rPr>
        <w:t>內</w:t>
      </w:r>
      <w:r>
        <w:rPr>
          <w:rFonts w:ascii="微軟正黑體" w:hAnsi="微軟正黑體" w:cs="MS UI Gothic" w:eastAsia="微軟正黑體"/>
          <w:lang w:val="en-US" w:eastAsia="en-US"/>
        </w:rPr>
        <w:t>建</w:t>
      </w:r>
      <w:r>
        <w:rPr>
          <w:rFonts w:eastAsia="微軟正黑體" w:ascii="微軟正黑體" w:hAnsi="微軟正黑體"/>
          <w:lang w:val="en-US" w:eastAsia="en-US"/>
        </w:rPr>
        <w:t>NPU</w:t>
      </w:r>
      <w:r>
        <w:rPr>
          <w:rFonts w:ascii="微軟正黑體" w:hAnsi="微軟正黑體" w:cs="MS UI Gothic" w:eastAsia="微軟正黑體"/>
          <w:lang w:val="en-US" w:eastAsia="en-US"/>
        </w:rPr>
        <w:t>的入門款</w:t>
      </w:r>
      <w:hyperlink r:id="rId9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KBox E-430-EKL</w:t>
        </w:r>
      </w:hyperlink>
      <w:r>
        <w:rPr>
          <w:rFonts w:ascii="微軟正黑體" w:hAnsi="微軟正黑體" w:cs="MS UI Gothic" w:eastAsia="微軟正黑體"/>
          <w:lang w:val="en-US" w:eastAsia="en-US"/>
        </w:rPr>
        <w:t>和</w:t>
      </w:r>
      <w:hyperlink r:id="rId10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KBox E-430-TGL</w:t>
        </w:r>
      </w:hyperlink>
      <w:r>
        <w:rPr>
          <w:rFonts w:ascii="微軟正黑體" w:hAnsi="微軟正黑體" w:cs="MS UI Gothic" w:eastAsia="微軟正黑體"/>
          <w:lang w:val="en-US" w:eastAsia="en-US"/>
        </w:rPr>
        <w:t>，以及具備擴充加速卡能力的專業款</w:t>
      </w:r>
      <w:hyperlink r:id="rId11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KBox C-104-TGL</w:t>
        </w:r>
      </w:hyperlink>
      <w:r>
        <w:rPr>
          <w:rFonts w:ascii="微軟正黑體" w:hAnsi="微軟正黑體" w:cs="MS UI Gothic" w:eastAsia="微軟正黑體"/>
          <w:lang w:val="en-US" w:eastAsia="en-US"/>
        </w:rPr>
        <w:t>，同時也會展示這些硬體在邊緣人工智慧上實際應用，包括成品外觀檢測、</w:t>
      </w:r>
      <w:r>
        <w:rPr>
          <w:rFonts w:eastAsia="微軟正黑體" w:ascii="微軟正黑體" w:hAnsi="微軟正黑體"/>
          <w:lang w:val="en-US" w:eastAsia="en-US"/>
        </w:rPr>
        <w:t>3D</w:t>
      </w:r>
      <w:r>
        <w:rPr>
          <w:rFonts w:ascii="微軟正黑體" w:hAnsi="微軟正黑體" w:cs="MS UI Gothic" w:eastAsia="微軟正黑體"/>
          <w:lang w:val="en-US" w:eastAsia="en-US"/>
        </w:rPr>
        <w:t>智慧量測、工安護具偵測、智慧健身、文字轉圖像人工智慧生成技術等應用。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專家研討會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MS UI Gothic" w:eastAsia="微軟正黑體"/>
          <w:lang w:val="en-US" w:eastAsia="en-US"/>
        </w:rPr>
        <w:t>於</w:t>
      </w:r>
      <w:r>
        <w:rPr>
          <w:rFonts w:eastAsia="微軟正黑體" w:cs="MS UI Gothic" w:ascii="微軟正黑體" w:hAnsi="微軟正黑體"/>
          <w:lang w:val="en-US" w:eastAsia="en-US"/>
        </w:rPr>
        <w:t>COMPUTEX</w:t>
      </w:r>
      <w:r>
        <w:rPr>
          <w:rFonts w:ascii="微軟正黑體" w:hAnsi="微軟正黑體" w:cs="MS UI Gothic" w:eastAsia="微軟正黑體"/>
          <w:lang w:val="en-US" w:eastAsia="en-US"/>
        </w:rPr>
        <w:t>展覽期間，將邀請</w:t>
      </w:r>
      <w:r>
        <w:rPr>
          <w:rFonts w:eastAsia="微軟正黑體" w:cs="MS UI Gothic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德國高層技術專家來台針對多項</w:t>
      </w:r>
      <w:r>
        <w:rPr>
          <w:rFonts w:eastAsia="微軟正黑體" w:cs="MS UI Gothic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領先業界的技術做更進一步的說明，同時分享一些成功案例，並與業界交流交換意見。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MS UI Gothic" w:eastAsia="微軟正黑體"/>
          <w:lang w:val="en-US" w:eastAsia="en-US"/>
        </w:rPr>
        <w:t>以上多項領先業界的關鍵技術與研討會都將於</w:t>
      </w:r>
      <w:r>
        <w:rPr>
          <w:rFonts w:eastAsia="微軟正黑體" w:ascii="微軟正黑體" w:hAnsi="微軟正黑體"/>
          <w:lang w:val="en-US" w:eastAsia="en-US"/>
        </w:rPr>
        <w:t>6</w:t>
      </w:r>
      <w:r>
        <w:rPr>
          <w:rFonts w:ascii="微軟正黑體" w:hAnsi="微軟正黑體" w:cs="MS UI Gothic" w:eastAsia="微軟正黑體"/>
          <w:lang w:val="en-US" w:eastAsia="en-US"/>
        </w:rPr>
        <w:t>月</w:t>
      </w:r>
      <w:r>
        <w:rPr>
          <w:rFonts w:eastAsia="微軟正黑體" w:ascii="微軟正黑體" w:hAnsi="微軟正黑體"/>
          <w:lang w:val="en-US" w:eastAsia="en-US"/>
        </w:rPr>
        <w:t>4</w:t>
      </w:r>
      <w:r>
        <w:rPr>
          <w:rFonts w:ascii="微軟正黑體" w:hAnsi="微軟正黑體" w:cs="MS UI Gothic" w:eastAsia="微軟正黑體"/>
          <w:lang w:val="en-US" w:eastAsia="en-US"/>
        </w:rPr>
        <w:t>日至</w:t>
      </w:r>
      <w:r>
        <w:rPr>
          <w:rFonts w:eastAsia="微軟正黑體" w:ascii="微軟正黑體" w:hAnsi="微軟正黑體"/>
          <w:lang w:val="en-US" w:eastAsia="en-US"/>
        </w:rPr>
        <w:t>6</w:t>
      </w:r>
      <w:r>
        <w:rPr>
          <w:rFonts w:ascii="微軟正黑體" w:hAnsi="微軟正黑體" w:cs="MS UI Gothic" w:eastAsia="微軟正黑體"/>
          <w:lang w:val="en-US" w:eastAsia="en-US"/>
        </w:rPr>
        <w:t>月</w:t>
      </w:r>
      <w:r>
        <w:rPr>
          <w:rFonts w:eastAsia="微軟正黑體" w:ascii="微軟正黑體" w:hAnsi="微軟正黑體"/>
          <w:lang w:val="en-US" w:eastAsia="en-US"/>
        </w:rPr>
        <w:t>7</w:t>
      </w:r>
      <w:r>
        <w:rPr>
          <w:rFonts w:ascii="微軟正黑體" w:hAnsi="微軟正黑體" w:cs="MS UI Gothic" w:eastAsia="微軟正黑體"/>
          <w:lang w:val="en-US" w:eastAsia="en-US"/>
        </w:rPr>
        <w:t>日在南港展覽館二館一樓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的攤位（</w:t>
      </w:r>
      <w:r>
        <w:rPr>
          <w:rFonts w:eastAsia="微軟正黑體" w:ascii="微軟正黑體" w:hAnsi="微軟正黑體"/>
          <w:lang w:val="en-US" w:eastAsia="en-US"/>
        </w:rPr>
        <w:t>P0110</w:t>
      </w:r>
      <w:r>
        <w:rPr>
          <w:rFonts w:ascii="微軟正黑體" w:hAnsi="微軟正黑體" w:cs="MS UI Gothic" w:eastAsia="微軟正黑體"/>
          <w:lang w:val="en-US" w:eastAsia="en-US"/>
        </w:rPr>
        <w:t>）盛大登場，歡迎業界所有專業人士前往參觀，探索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在物聯網與嵌入式運算技術上的堅強實力。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關於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Kontron</w:t>
      </w:r>
    </w:p>
    <w:p>
      <w:pPr>
        <w:pStyle w:val="Normal"/>
        <w:rPr/>
      </w:pP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成立於</w:t>
      </w:r>
      <w:r>
        <w:rPr>
          <w:rFonts w:eastAsia="微軟正黑體" w:ascii="微軟正黑體" w:hAnsi="微軟正黑體"/>
          <w:lang w:val="en-US" w:eastAsia="en-US"/>
        </w:rPr>
        <w:t>1959</w:t>
      </w:r>
      <w:r>
        <w:rPr>
          <w:rFonts w:ascii="微軟正黑體" w:hAnsi="微軟正黑體" w:cs="MS UI Gothic" w:eastAsia="微軟正黑體"/>
          <w:lang w:val="en-US" w:eastAsia="en-US"/>
        </w:rPr>
        <w:t>年，現已發展成為在世界各地</w:t>
      </w:r>
      <w:r>
        <w:rPr>
          <w:rFonts w:eastAsia="微軟正黑體" w:ascii="微軟正黑體" w:hAnsi="微軟正黑體"/>
          <w:lang w:val="en-US" w:eastAsia="en-US"/>
        </w:rPr>
        <w:t>23</w:t>
      </w:r>
      <w:r>
        <w:rPr>
          <w:rFonts w:ascii="微軟正黑體" w:hAnsi="微軟正黑體" w:cs="MS UI Gothic" w:eastAsia="微軟正黑體"/>
          <w:lang w:val="en-US" w:eastAsia="en-US"/>
        </w:rPr>
        <w:t>個國家擁有</w:t>
      </w:r>
      <w:r>
        <w:rPr>
          <w:rFonts w:eastAsia="微軟正黑體" w:ascii="微軟正黑體" w:hAnsi="微軟正黑體"/>
          <w:lang w:val="en-US" w:eastAsia="en-US"/>
        </w:rPr>
        <w:t>8,000</w:t>
      </w:r>
      <w:r>
        <w:rPr>
          <w:rFonts w:ascii="微軟正黑體" w:hAnsi="微軟正黑體" w:cs="MS UI Gothic" w:eastAsia="微軟正黑體"/>
          <w:lang w:val="en-US" w:eastAsia="en-US"/>
        </w:rPr>
        <w:t>多名員工的跨國集團，總部位於奧地利，同時也是德國證券交易所中小型類股指數（</w:t>
      </w:r>
      <w:r>
        <w:rPr>
          <w:rFonts w:eastAsia="微軟正黑體" w:ascii="微軟正黑體" w:hAnsi="微軟正黑體"/>
          <w:lang w:val="en-US" w:eastAsia="en-US"/>
        </w:rPr>
        <w:t>SDAX</w:t>
      </w:r>
      <w:r>
        <w:rPr>
          <w:rFonts w:ascii="微軟正黑體" w:hAnsi="微軟正黑體" w:cs="MS UI Gothic" w:eastAsia="微軟正黑體"/>
          <w:lang w:val="en-US" w:eastAsia="en-US"/>
        </w:rPr>
        <w:t>）與科技類股指數（</w:t>
      </w:r>
      <w:r>
        <w:rPr>
          <w:rFonts w:eastAsia="微軟正黑體" w:ascii="微軟正黑體" w:hAnsi="微軟正黑體"/>
          <w:lang w:val="en-US" w:eastAsia="en-US"/>
        </w:rPr>
        <w:t>TecDAX</w:t>
      </w:r>
      <w:r>
        <w:rPr>
          <w:rFonts w:ascii="微軟正黑體" w:hAnsi="微軟正黑體" w:cs="MS UI Gothic" w:eastAsia="微軟正黑體"/>
          <w:lang w:val="en-US" w:eastAsia="en-US"/>
        </w:rPr>
        <w:t>）成份股的上市公司之一。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為全球物聯網</w:t>
      </w:r>
      <w:r>
        <w:rPr>
          <w:rFonts w:eastAsia="微軟正黑體" w:ascii="微軟正黑體" w:hAnsi="微軟正黑體"/>
          <w:lang w:val="en-US" w:eastAsia="en-US"/>
        </w:rPr>
        <w:t>/</w:t>
      </w:r>
      <w:r>
        <w:rPr>
          <w:rFonts w:ascii="微軟正黑體" w:hAnsi="微軟正黑體" w:cs="MS UI Gothic" w:eastAsia="微軟正黑體"/>
          <w:lang w:val="en-US" w:eastAsia="en-US"/>
        </w:rPr>
        <w:t>嵌入式運算技術領導品牌，提供物聯網與工業</w:t>
      </w:r>
      <w:r>
        <w:rPr>
          <w:rFonts w:eastAsia="微軟正黑體" w:ascii="微軟正黑體" w:hAnsi="微軟正黑體"/>
          <w:lang w:val="en-US" w:eastAsia="en-US"/>
        </w:rPr>
        <w:t>4.0</w:t>
      </w:r>
      <w:r>
        <w:rPr>
          <w:rFonts w:ascii="微軟正黑體" w:hAnsi="微軟正黑體" w:cs="MS UI Gothic" w:eastAsia="微軟正黑體"/>
          <w:lang w:val="en-US" w:eastAsia="en-US"/>
        </w:rPr>
        <w:t>領域涵蓋軟硬體及服務的解決方案。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的標準與客製化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品擁有高度可靠的先進技術，為多樣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業提供安全及創新應用，使客</w:t>
      </w:r>
      <w:r>
        <w:rPr>
          <w:rFonts w:ascii="微軟正黑體" w:hAnsi="微軟正黑體" w:cs="PMingLiU" w:eastAsia="微軟正黑體"/>
          <w:lang w:val="en-US" w:eastAsia="en-US"/>
        </w:rPr>
        <w:t>戶</w:t>
      </w:r>
      <w:r>
        <w:rPr>
          <w:rFonts w:ascii="微軟正黑體" w:hAnsi="微軟正黑體" w:cs="MS UI Gothic" w:eastAsia="微軟正黑體"/>
          <w:lang w:val="en-US" w:eastAsia="en-US"/>
        </w:rPr>
        <w:t>可加速供貨、降低總持有成本、延長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品生命周期及擁有高度整合的應用，詳情請造訪</w:t>
      </w:r>
      <w:r>
        <w:rPr>
          <w:rFonts w:eastAsia="微軟正黑體" w:ascii="微軟正黑體" w:hAnsi="微軟正黑體"/>
          <w:lang w:val="en-US" w:eastAsia="en-US"/>
        </w:rPr>
        <w:t>Kontron</w:t>
      </w:r>
      <w:r>
        <w:rPr>
          <w:rFonts w:ascii="微軟正黑體" w:hAnsi="微軟正黑體" w:cs="MS UI Gothic" w:eastAsia="微軟正黑體"/>
          <w:lang w:val="en-US" w:eastAsia="en-US"/>
        </w:rPr>
        <w:t>官網</w:t>
      </w:r>
      <w:hyperlink r:id="rId12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www.kontron.com</w:t>
        </w:r>
      </w:hyperlink>
      <w:r>
        <w:rPr>
          <w:rFonts w:ascii="微軟正黑體" w:hAnsi="微軟正黑體" w:cs="MS UI Gothic" w:eastAsia="微軟正黑體"/>
          <w:lang w:val="en-US" w:eastAsia="en-US"/>
        </w:rPr>
        <w:t>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微軟正黑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思源宋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思源宋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ontron.com/en/products/comh-ccas/p172993" TargetMode="External"/><Relationship Id="rId3" Type="http://schemas.openxmlformats.org/officeDocument/2006/relationships/hyperlink" Target="https://www.kontron.com/en/products/comh-caap/p172994" TargetMode="External"/><Relationship Id="rId4" Type="http://schemas.openxmlformats.org/officeDocument/2006/relationships/hyperlink" Target="https://www.kontron.com/en/products/comh-sdid/p171860" TargetMode="External"/><Relationship Id="rId5" Type="http://schemas.openxmlformats.org/officeDocument/2006/relationships/hyperlink" Target="https://www.kontron-electronics.com/products/som/" TargetMode="External"/><Relationship Id="rId6" Type="http://schemas.openxmlformats.org/officeDocument/2006/relationships/hyperlink" Target="https://www.kontron.com/en/industries/automotive" TargetMode="External"/><Relationship Id="rId7" Type="http://schemas.openxmlformats.org/officeDocument/2006/relationships/hyperlink" Target="https://kontron-ais.com/en/products/equipmentcloud" TargetMode="External"/><Relationship Id="rId8" Type="http://schemas.openxmlformats.org/officeDocument/2006/relationships/hyperlink" Target="https://kontron-ais.com/en/products/k-port" TargetMode="External"/><Relationship Id="rId9" Type="http://schemas.openxmlformats.org/officeDocument/2006/relationships/hyperlink" Target="https://www.kontron.com/en/products/kbox-e-430-ekl/p176685" TargetMode="External"/><Relationship Id="rId10" Type="http://schemas.openxmlformats.org/officeDocument/2006/relationships/hyperlink" Target="https://www.kontron.com/en/products/kbox-e-430-tgl/p171053" TargetMode="External"/><Relationship Id="rId11" Type="http://schemas.openxmlformats.org/officeDocument/2006/relationships/hyperlink" Target="https://www.kontron.com/en/products/kbox-c-104-tgl/p173851" TargetMode="External"/><Relationship Id="rId12" Type="http://schemas.openxmlformats.org/officeDocument/2006/relationships/hyperlink" Target="https://www.kontron.com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LibreOffice/7.3.3.2$Windows_X86_64 LibreOffice_project/d1d0ea68f081ee2800a922cac8f79445e4603348</Application>
  <AppVersion>15.0000</AppVersion>
  <Pages>2</Pages>
  <Words>1259</Words>
  <Characters>1620</Characters>
  <CharactersWithSpaces>1645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2024-05-17T09:48:09Z</dcterms:modified>
  <cp:revision>2</cp:revision>
  <dc:subject/>
  <dc:title>Kontron重磅回歸COMPUTEX 2024盛會 聚焦多項領先業界的關鍵技術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