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false"/>
        <w:spacing w:before="0" w:after="0"/>
        <w:jc w:val="center"/>
        <w:outlineLvl w:val="9"/>
        <w:rPr>
          <w:sz w:val="28"/>
          <w:szCs w:val="28"/>
        </w:rPr>
      </w:pPr>
      <w:r>
        <w:rPr>
          <w:rFonts w:eastAsia="Times New Roman" w:cs="Times New Roman"/>
          <w:i w:val="false"/>
          <w:sz w:val="28"/>
          <w:szCs w:val="28"/>
          <w:lang w:val="en-US" w:eastAsia="en-US"/>
        </w:rPr>
        <w:t>OMRON to Showcase Semiconductor Manufacturing Inspection and Automation Solutions at SEMICON Taiwan 2026</w:t>
      </w:r>
    </w:p>
    <w:p>
      <w:pPr>
        <w:pStyle w:val="Heading2"/>
        <w:keepNext w:val="false"/>
        <w:spacing w:before="299" w:after="299"/>
        <w:jc w:val="center"/>
        <w:outlineLvl w:val="9"/>
        <w:rPr>
          <w:sz w:val="26"/>
          <w:szCs w:val="26"/>
        </w:rPr>
      </w:pPr>
      <w:r>
        <w:rPr>
          <w:rFonts w:eastAsia="Times New Roman" w:cs="Times New Roman"/>
          <w:i/>
          <w:sz w:val="26"/>
          <w:szCs w:val="26"/>
          <w:lang w:val="en-US" w:eastAsia="en-US"/>
        </w:rPr>
        <w:t>OMRON will present 3D-CT X-ray inspection equipment, Digital Twin technology, and Quality Data applications to enhance quality visualization and process optimization for advanced packaging</w:t>
      </w:r>
    </w:p>
    <w:p>
      <w:pPr>
        <w:pStyle w:val="Normal"/>
        <w:rPr>
          <w:b/>
          <w:bCs/>
          <w:sz w:val="24"/>
          <w:szCs w:val="24"/>
          <w:lang w:val="en-US" w:eastAsia="en-US"/>
        </w:rPr>
      </w:pPr>
      <w:r>
        <w:rPr>
          <w:b/>
          <w:bCs/>
          <w:lang w:val="en-US" w:eastAsia="en-US"/>
        </w:rPr>
        <w:t>Kyoto, Japan – Aug. 20, 2026 -</w:t>
      </w:r>
      <w:r>
        <w:rPr>
          <w:lang w:val="en-US" w:eastAsia="en-US"/>
        </w:rPr>
        <w:t xml:space="preserve"> OMRON will participate in SEMICON Taiwan 2026, to be held from September 2 to 4, 2026, at the Taipei Nangang Exhibition Center, TaiNEX 1 and 2. At booth Q5842 on the first floor of TaiNEX 2, OMRON will showcase inspection automation solutions for semiconductor and electronic component manufacturing. As AI, high-performance computing (HPC), and advanced packaging technologies advance rapidly, quality assurance in semiconductor production is shifting beyond defect detection toward identifying root causes and using inspection data to improve manufacturing processes. </w:t>
        <w:br/>
        <w:br/>
        <w:t xml:space="preserve">Centered on quality visualization and data utilization, OMRON will present 3D X-ray inspection, Digital Twin technology, and automation control solutions for semiconductor manufacturing, covering applications from R&amp;D and prototype evaluation through mass production. </w:t>
        <w:br/>
      </w:r>
    </w:p>
    <w:p>
      <w:pPr>
        <w:pStyle w:val="Heading3"/>
        <w:keepNext w:val="false"/>
        <w:spacing w:before="0" w:after="0"/>
        <w:outlineLvl w:val="9"/>
        <w:rPr>
          <w:sz w:val="26"/>
          <w:szCs w:val="26"/>
        </w:rPr>
      </w:pPr>
      <w:r>
        <w:rPr>
          <w:rFonts w:eastAsia="Times New Roman" w:cs="Times New Roman"/>
          <w:i w:val="false"/>
          <w:sz w:val="26"/>
          <w:szCs w:val="26"/>
          <w:lang w:val="en-US" w:eastAsia="en-US"/>
        </w:rPr>
        <w:t>Exhibition Concept: Enhancing AI Manufacturing Through Quality Visualization</w:t>
      </w:r>
    </w:p>
    <w:p>
      <w:pPr>
        <w:pStyle w:val="Normal"/>
        <w:rPr>
          <w:sz w:val="24"/>
          <w:szCs w:val="24"/>
          <w:lang w:val="en-US" w:eastAsia="en-US"/>
        </w:rPr>
      </w:pPr>
      <w:r>
        <w:rPr>
          <w:lang w:val="en-US" w:eastAsia="en-US"/>
        </w:rPr>
        <w:t xml:space="preserve">3D CT visualizes internal structures and quantifies quality conditions. </w:t>
        <w:br/>
        <w:br/>
        <w:t xml:space="preserve">Inspection data is transformed into Quality Data to support continuous process improvement from R&amp;D through mass production. </w:t>
        <w:br/>
      </w:r>
    </w:p>
    <w:p>
      <w:pPr>
        <w:pStyle w:val="Heading3"/>
        <w:keepNext w:val="false"/>
        <w:spacing w:before="0" w:after="0"/>
        <w:outlineLvl w:val="9"/>
        <w:rPr>
          <w:b/>
          <w:bCs/>
          <w:sz w:val="28"/>
          <w:szCs w:val="28"/>
          <w:lang w:val="en-US" w:eastAsia="en-US"/>
        </w:rPr>
      </w:pPr>
      <w:r>
        <w:rPr>
          <w:rFonts w:eastAsia="Times New Roman" w:cs="Times New Roman"/>
          <w:i w:val="false"/>
          <w:lang w:val="en-US" w:eastAsia="en-US"/>
        </w:rPr>
        <w:t>Exhibition Overview</w:t>
      </w:r>
    </w:p>
    <w:tbl>
      <w:tblPr>
        <w:tblW w:w="5000" w:type="pct"/>
        <w:jc w:val="left"/>
        <w:tblInd w:w="136" w:type="dxa"/>
        <w:tblLayout w:type="fixed"/>
        <w:tblCellMar>
          <w:top w:w="128" w:type="dxa"/>
          <w:left w:w="128" w:type="dxa"/>
          <w:bottom w:w="128" w:type="dxa"/>
          <w:right w:w="128" w:type="dxa"/>
        </w:tblCellMar>
      </w:tblPr>
      <w:tblGrid>
        <w:gridCol w:w="1694"/>
        <w:gridCol w:w="7666"/>
      </w:tblGrid>
      <w:tr>
        <w:trPr/>
        <w:tc>
          <w:tcPr>
            <w:tcW w:w="1694" w:type="dxa"/>
            <w:tcBorders>
              <w:top w:val="single" w:sz="6" w:space="0" w:color="000000"/>
              <w:left w:val="single" w:sz="6" w:space="0" w:color="000000"/>
              <w:bottom w:val="single" w:sz="6" w:space="0" w:color="000000"/>
              <w:right w:val="single" w:sz="6" w:space="0" w:color="000000"/>
            </w:tcBorders>
            <w:shd w:color="auto" w:fill="F2F2F2" w:val="clear"/>
            <w:vAlign w:val="center"/>
          </w:tcPr>
          <w:p>
            <w:pPr>
              <w:pStyle w:val="Normal"/>
              <w:shd w:val="clear" w:color="auto" w:fill="F2F2F2"/>
              <w:jc w:val="left"/>
              <w:rPr>
                <w:b/>
                <w:bCs/>
                <w:sz w:val="24"/>
                <w:szCs w:val="24"/>
                <w:lang w:val="en-US" w:eastAsia="en-US"/>
              </w:rPr>
            </w:pPr>
            <w:r>
              <w:rPr>
                <w:b/>
                <w:bCs/>
                <w:lang w:val="en-US" w:eastAsia="en-US"/>
              </w:rPr>
              <w:t>Event</w:t>
            </w:r>
          </w:p>
        </w:tc>
        <w:tc>
          <w:tcPr>
            <w:tcW w:w="7666" w:type="dxa"/>
            <w:tcBorders>
              <w:top w:val="single" w:sz="6" w:space="0" w:color="000000"/>
              <w:left w:val="single" w:sz="6" w:space="0" w:color="000000"/>
              <w:bottom w:val="single" w:sz="6" w:space="0" w:color="000000"/>
              <w:right w:val="single" w:sz="6" w:space="0" w:color="000000"/>
            </w:tcBorders>
            <w:vAlign w:val="center"/>
          </w:tcPr>
          <w:p>
            <w:pPr>
              <w:pStyle w:val="Normal"/>
              <w:jc w:val="left"/>
              <w:rPr>
                <w:sz w:val="24"/>
                <w:szCs w:val="24"/>
                <w:lang w:val="en-US" w:eastAsia="en-US"/>
              </w:rPr>
            </w:pPr>
            <w:r>
              <w:rPr>
                <w:lang w:val="en-US" w:eastAsia="en-US"/>
              </w:rPr>
              <w:t>SEMICON Taiwan 2026</w:t>
            </w:r>
          </w:p>
        </w:tc>
      </w:tr>
      <w:tr>
        <w:trPr/>
        <w:tc>
          <w:tcPr>
            <w:tcW w:w="1694" w:type="dxa"/>
            <w:tcBorders>
              <w:top w:val="single" w:sz="6" w:space="0" w:color="000000"/>
              <w:left w:val="single" w:sz="6" w:space="0" w:color="000000"/>
              <w:bottom w:val="single" w:sz="6" w:space="0" w:color="000000"/>
              <w:right w:val="single" w:sz="6" w:space="0" w:color="000000"/>
            </w:tcBorders>
            <w:shd w:color="auto" w:fill="F2F2F2" w:val="clear"/>
            <w:vAlign w:val="center"/>
          </w:tcPr>
          <w:p>
            <w:pPr>
              <w:pStyle w:val="Normal"/>
              <w:shd w:val="clear" w:color="auto" w:fill="F2F2F2"/>
              <w:jc w:val="left"/>
              <w:rPr>
                <w:b/>
                <w:bCs/>
                <w:sz w:val="24"/>
                <w:szCs w:val="24"/>
                <w:lang w:val="en-US" w:eastAsia="en-US"/>
              </w:rPr>
            </w:pPr>
            <w:r>
              <w:rPr>
                <w:b/>
                <w:bCs/>
                <w:lang w:val="en-US" w:eastAsia="en-US"/>
              </w:rPr>
              <w:t>Dates</w:t>
            </w:r>
          </w:p>
        </w:tc>
        <w:tc>
          <w:tcPr>
            <w:tcW w:w="7666" w:type="dxa"/>
            <w:tcBorders>
              <w:top w:val="single" w:sz="6" w:space="0" w:color="000000"/>
              <w:left w:val="single" w:sz="6" w:space="0" w:color="000000"/>
              <w:bottom w:val="single" w:sz="6" w:space="0" w:color="000000"/>
              <w:right w:val="single" w:sz="6" w:space="0" w:color="000000"/>
            </w:tcBorders>
            <w:vAlign w:val="center"/>
          </w:tcPr>
          <w:p>
            <w:pPr>
              <w:pStyle w:val="Normal"/>
              <w:jc w:val="left"/>
              <w:rPr>
                <w:sz w:val="24"/>
                <w:szCs w:val="24"/>
                <w:lang w:val="en-US" w:eastAsia="en-US"/>
              </w:rPr>
            </w:pPr>
            <w:r>
              <w:rPr>
                <w:lang w:val="en-US" w:eastAsia="en-US"/>
              </w:rPr>
              <w:t>Wednesday, September 2 to Friday, September 4, 2026</w:t>
            </w:r>
          </w:p>
        </w:tc>
      </w:tr>
      <w:tr>
        <w:trPr/>
        <w:tc>
          <w:tcPr>
            <w:tcW w:w="1694" w:type="dxa"/>
            <w:tcBorders>
              <w:top w:val="single" w:sz="6" w:space="0" w:color="000000"/>
              <w:left w:val="single" w:sz="6" w:space="0" w:color="000000"/>
              <w:bottom w:val="single" w:sz="6" w:space="0" w:color="000000"/>
              <w:right w:val="single" w:sz="6" w:space="0" w:color="000000"/>
            </w:tcBorders>
            <w:shd w:color="auto" w:fill="F2F2F2" w:val="clear"/>
            <w:vAlign w:val="center"/>
          </w:tcPr>
          <w:p>
            <w:pPr>
              <w:pStyle w:val="Normal"/>
              <w:shd w:val="clear" w:color="auto" w:fill="F2F2F2"/>
              <w:jc w:val="left"/>
              <w:rPr>
                <w:b/>
                <w:bCs/>
                <w:sz w:val="24"/>
                <w:szCs w:val="24"/>
                <w:lang w:val="en-US" w:eastAsia="en-US"/>
              </w:rPr>
            </w:pPr>
            <w:r>
              <w:rPr>
                <w:b/>
                <w:bCs/>
                <w:lang w:val="en-US" w:eastAsia="en-US"/>
              </w:rPr>
              <w:t>Venue</w:t>
            </w:r>
          </w:p>
        </w:tc>
        <w:tc>
          <w:tcPr>
            <w:tcW w:w="7666" w:type="dxa"/>
            <w:tcBorders>
              <w:top w:val="single" w:sz="6" w:space="0" w:color="000000"/>
              <w:left w:val="single" w:sz="6" w:space="0" w:color="000000"/>
              <w:bottom w:val="single" w:sz="6" w:space="0" w:color="000000"/>
              <w:right w:val="single" w:sz="6" w:space="0" w:color="000000"/>
            </w:tcBorders>
            <w:vAlign w:val="center"/>
          </w:tcPr>
          <w:p>
            <w:pPr>
              <w:pStyle w:val="Normal"/>
              <w:jc w:val="left"/>
              <w:rPr>
                <w:sz w:val="24"/>
                <w:szCs w:val="24"/>
                <w:lang w:val="en-US" w:eastAsia="en-US"/>
              </w:rPr>
            </w:pPr>
            <w:r>
              <w:rPr>
                <w:lang w:val="en-US" w:eastAsia="en-US"/>
              </w:rPr>
              <w:t>Taipei Nangang Exhibition Center, TaiNEX 1 and 2</w:t>
            </w:r>
          </w:p>
        </w:tc>
      </w:tr>
      <w:tr>
        <w:trPr/>
        <w:tc>
          <w:tcPr>
            <w:tcW w:w="1694" w:type="dxa"/>
            <w:tcBorders>
              <w:top w:val="single" w:sz="6" w:space="0" w:color="000000"/>
              <w:left w:val="single" w:sz="6" w:space="0" w:color="000000"/>
              <w:bottom w:val="single" w:sz="6" w:space="0" w:color="000000"/>
              <w:right w:val="single" w:sz="6" w:space="0" w:color="000000"/>
            </w:tcBorders>
            <w:shd w:color="auto" w:fill="F2F2F2" w:val="clear"/>
            <w:vAlign w:val="center"/>
          </w:tcPr>
          <w:p>
            <w:pPr>
              <w:pStyle w:val="Normal"/>
              <w:shd w:val="clear" w:color="auto" w:fill="F2F2F2"/>
              <w:jc w:val="left"/>
              <w:rPr>
                <w:b/>
                <w:bCs/>
                <w:sz w:val="24"/>
                <w:szCs w:val="24"/>
                <w:lang w:val="en-US" w:eastAsia="en-US"/>
              </w:rPr>
            </w:pPr>
            <w:r>
              <w:rPr>
                <w:b/>
                <w:bCs/>
                <w:lang w:val="en-US" w:eastAsia="en-US"/>
              </w:rPr>
              <w:t>OMRON Booth</w:t>
            </w:r>
          </w:p>
        </w:tc>
        <w:tc>
          <w:tcPr>
            <w:tcW w:w="7666" w:type="dxa"/>
            <w:tcBorders>
              <w:top w:val="single" w:sz="6" w:space="0" w:color="000000"/>
              <w:left w:val="single" w:sz="6" w:space="0" w:color="000000"/>
              <w:bottom w:val="single" w:sz="6" w:space="0" w:color="000000"/>
              <w:right w:val="single" w:sz="6" w:space="0" w:color="000000"/>
            </w:tcBorders>
            <w:vAlign w:val="center"/>
          </w:tcPr>
          <w:p>
            <w:pPr>
              <w:pStyle w:val="Normal"/>
              <w:jc w:val="left"/>
              <w:rPr>
                <w:sz w:val="24"/>
                <w:szCs w:val="24"/>
                <w:lang w:val="en-US" w:eastAsia="en-US"/>
              </w:rPr>
            </w:pPr>
            <w:r>
              <w:rPr>
                <w:lang w:val="en-US" w:eastAsia="en-US"/>
              </w:rPr>
              <w:t>TaiNEX 2 / 1F / Q5842</w:t>
            </w:r>
          </w:p>
        </w:tc>
      </w:tr>
      <w:tr>
        <w:trPr/>
        <w:tc>
          <w:tcPr>
            <w:tcW w:w="1694" w:type="dxa"/>
            <w:tcBorders>
              <w:top w:val="single" w:sz="6" w:space="0" w:color="000000"/>
              <w:left w:val="single" w:sz="6" w:space="0" w:color="000000"/>
              <w:bottom w:val="single" w:sz="6" w:space="0" w:color="000000"/>
              <w:right w:val="single" w:sz="6" w:space="0" w:color="000000"/>
            </w:tcBorders>
            <w:shd w:color="auto" w:fill="F2F2F2" w:val="clear"/>
            <w:vAlign w:val="center"/>
          </w:tcPr>
          <w:p>
            <w:pPr>
              <w:pStyle w:val="Normal"/>
              <w:shd w:val="clear" w:color="auto" w:fill="F2F2F2"/>
              <w:jc w:val="left"/>
              <w:rPr>
                <w:b/>
                <w:bCs/>
                <w:sz w:val="24"/>
                <w:szCs w:val="24"/>
                <w:lang w:val="en-US" w:eastAsia="en-US"/>
              </w:rPr>
            </w:pPr>
            <w:r>
              <w:rPr>
                <w:b/>
                <w:bCs/>
                <w:lang w:val="en-US" w:eastAsia="en-US"/>
              </w:rPr>
              <w:t>Exhibition Focus</w:t>
            </w:r>
          </w:p>
        </w:tc>
        <w:tc>
          <w:tcPr>
            <w:tcW w:w="7666" w:type="dxa"/>
            <w:tcBorders>
              <w:top w:val="single" w:sz="6" w:space="0" w:color="000000"/>
              <w:left w:val="single" w:sz="6" w:space="0" w:color="000000"/>
              <w:bottom w:val="single" w:sz="6" w:space="0" w:color="000000"/>
              <w:right w:val="single" w:sz="6" w:space="0" w:color="000000"/>
            </w:tcBorders>
            <w:vAlign w:val="center"/>
          </w:tcPr>
          <w:p>
            <w:pPr>
              <w:pStyle w:val="Normal"/>
              <w:jc w:val="left"/>
              <w:rPr>
                <w:sz w:val="24"/>
                <w:szCs w:val="24"/>
                <w:lang w:val="en-US" w:eastAsia="en-US"/>
              </w:rPr>
            </w:pPr>
            <w:r>
              <w:rPr>
                <w:lang w:val="en-US" w:eastAsia="en-US"/>
              </w:rPr>
              <w:t>Inspection automation solutions for semiconductor and electronic component manufacturing</w:t>
            </w:r>
          </w:p>
        </w:tc>
      </w:tr>
    </w:tbl>
    <w:p>
      <w:pPr>
        <w:pStyle w:val="Heading3"/>
        <w:keepNext w:val="false"/>
        <w:spacing w:before="0" w:after="0"/>
        <w:outlineLvl w:val="9"/>
        <w:rPr>
          <w:b/>
          <w:bCs/>
          <w:sz w:val="28"/>
          <w:szCs w:val="28"/>
          <w:lang w:val="en-US" w:eastAsia="en-US"/>
        </w:rPr>
      </w:pPr>
      <w:r>
        <w:rPr>
          <w:b/>
          <w:bCs/>
          <w:sz w:val="28"/>
          <w:szCs w:val="28"/>
          <w:lang w:val="en-US" w:eastAsia="en-US"/>
        </w:rPr>
      </w:r>
    </w:p>
    <w:p>
      <w:pPr>
        <w:pStyle w:val="Heading3"/>
        <w:spacing w:before="0" w:after="0"/>
        <w:outlineLvl w:val="9"/>
        <w:rPr>
          <w:rFonts w:ascii="Times New Roman" w:hAnsi="Times New Roman" w:eastAsia="Times New Roman" w:cs="Times New Roman"/>
          <w:i w:val="false"/>
          <w:sz w:val="26"/>
          <w:szCs w:val="26"/>
          <w:lang w:val="en-US" w:eastAsia="en-US"/>
        </w:rPr>
      </w:pPr>
      <w:r>
        <w:rPr>
          <w:rFonts w:eastAsia="Times New Roman" w:cs="Times New Roman"/>
          <w:i w:val="false"/>
          <w:sz w:val="26"/>
          <w:szCs w:val="26"/>
          <w:lang w:val="en-US" w:eastAsia="en-US"/>
        </w:rPr>
        <w:t>Key Highlights</w:t>
      </w:r>
    </w:p>
    <w:p>
      <w:pPr>
        <w:pStyle w:val="Normal"/>
        <w:rPr>
          <w:b/>
          <w:bCs/>
          <w:sz w:val="24"/>
          <w:szCs w:val="24"/>
          <w:lang w:val="en-US" w:eastAsia="en-US"/>
        </w:rPr>
      </w:pPr>
      <w:r>
        <w:rPr>
          <w:b/>
          <w:bCs/>
          <w:lang w:val="en-US" w:eastAsia="en-US"/>
        </w:rPr>
        <w:t xml:space="preserve">■  </w:t>
      </w:r>
      <w:r>
        <w:rPr>
          <w:b/>
          <w:bCs/>
          <w:lang w:val="en-US" w:eastAsia="en-US"/>
        </w:rPr>
        <w:t>CT-Based 3D X-ray Automated Inspection Solution for Advanced Packaging</w:t>
        <w:br/>
      </w:r>
      <w:r>
        <w:rPr>
          <w:lang w:val="en-US" w:eastAsia="en-US"/>
        </w:rPr>
        <w:t xml:space="preserve">Designed to meet the inspection requirements of advanced packaging, including TGVs, microbumps, voids, and chiplets, the solution combines automated X-ray inspection (AXI) with CT-based 3D X-ray technology. It supports detailed analysis during R&amp;D and consistent pass/fail decisions in mass production. By visualizing internal structures and enabling quantitative inspection and early identification of quality risks, the solution supports continuous process improvement. </w:t>
        <w:br/>
        <w:br/>
      </w:r>
      <w:r>
        <w:rPr>
          <w:b/>
          <w:bCs/>
          <w:lang w:val="en-US" w:eastAsia="en-US"/>
        </w:rPr>
        <w:t>■  Digital Twin × Quality Data Applications</w:t>
        <w:br/>
      </w:r>
      <w:r>
        <w:rPr>
          <w:lang w:val="en-US" w:eastAsia="en-US"/>
        </w:rPr>
        <w:t xml:space="preserve">Through its collaboration with NVIDIA Omniverse, OMRON is developing Digital Twins that leverage Quality Data. By incorporating 3D visualization generated through visual and X-ray inspections, the system can accurately reproduce substrate warpage and bonding conditions. Simulating quality conditions and applying AI also enable a new approach to quality management that directly connects inspection results with process improvement. </w:t>
        <w:br/>
        <w:br/>
      </w:r>
      <w:r>
        <w:rPr>
          <w:b/>
          <w:bCs/>
          <w:lang w:val="en-US" w:eastAsia="en-US"/>
        </w:rPr>
        <w:t>■  Material Handling, Visual Inspection, and IAB Control Technologies</w:t>
        <w:br/>
      </w:r>
      <w:r>
        <w:rPr>
          <w:lang w:val="en-US" w:eastAsia="en-US"/>
        </w:rPr>
        <w:t xml:space="preserve">OMRON will demonstrate wafer-handling technologies, component products, and related solutions, together with safety and sensor technologies developed specifically for semiconductor manufacturing at the OMRON Semiconductor Development Center. </w:t>
        <w:br/>
      </w:r>
    </w:p>
    <w:p>
      <w:pPr>
        <w:pStyle w:val="Heading3"/>
        <w:keepNext w:val="false"/>
        <w:spacing w:before="0" w:after="0"/>
        <w:outlineLvl w:val="9"/>
        <w:rPr>
          <w:sz w:val="26"/>
          <w:szCs w:val="26"/>
        </w:rPr>
      </w:pPr>
      <w:r>
        <w:rPr>
          <w:rFonts w:eastAsia="Times New Roman" w:cs="Times New Roman"/>
          <w:i w:val="false"/>
          <w:sz w:val="26"/>
          <w:szCs w:val="26"/>
          <w:lang w:val="en-US" w:eastAsia="en-US"/>
        </w:rPr>
        <w:t>Technical Presentations During the Event</w:t>
      </w:r>
    </w:p>
    <w:p>
      <w:pPr>
        <w:pStyle w:val="Normal"/>
        <w:rPr>
          <w:b/>
          <w:bCs/>
          <w:sz w:val="24"/>
          <w:szCs w:val="24"/>
          <w:lang w:val="en-US" w:eastAsia="en-US"/>
        </w:rPr>
      </w:pPr>
      <w:r>
        <w:rPr>
          <w:b/>
          <w:bCs/>
          <w:lang w:val="en-US" w:eastAsia="en-US"/>
        </w:rPr>
        <w:t xml:space="preserve">■  </w:t>
      </w:r>
      <w:r>
        <w:rPr>
          <w:b/>
          <w:bCs/>
          <w:lang w:val="en-US" w:eastAsia="en-US"/>
        </w:rPr>
        <w:t>Keynote Presentation: Strategic Materials Conference</w:t>
        <w:br/>
        <w:t xml:space="preserve">Date: </w:t>
      </w:r>
      <w:r>
        <w:rPr>
          <w:lang w:val="en-US" w:eastAsia="en-US"/>
        </w:rPr>
        <w:t>Thursday, September 3</w:t>
        <w:br/>
      </w:r>
      <w:r>
        <w:rPr>
          <w:b/>
          <w:bCs/>
          <w:lang w:val="en-US" w:eastAsia="en-US"/>
        </w:rPr>
        <w:t xml:space="preserve">Location: </w:t>
      </w:r>
      <w:r>
        <w:rPr>
          <w:lang w:val="en-US" w:eastAsia="en-US"/>
        </w:rPr>
        <w:t>TaiNEX Hall 2 (Taipei Nangang Exhibition Center, Hall 2)</w:t>
        <w:br/>
      </w:r>
      <w:r>
        <w:rPr>
          <w:b/>
          <w:bCs/>
          <w:lang w:val="en-US" w:eastAsia="en-US"/>
        </w:rPr>
        <w:t xml:space="preserve">Topic: </w:t>
      </w:r>
      <w:r>
        <w:rPr>
          <w:lang w:val="en-US" w:eastAsia="en-US"/>
        </w:rPr>
        <w:t xml:space="preserve">Automated Inspection Technology for Advanced Packaging Incorporating TGVs: A New Method for Achieving Consistent Pass/Fail Results from Development Through Mass Production </w:t>
        <w:br/>
        <w:br/>
      </w:r>
      <w:r>
        <w:rPr>
          <w:b/>
          <w:bCs/>
          <w:lang w:val="en-US" w:eastAsia="en-US"/>
        </w:rPr>
        <w:t>■  On-Site Seminar: TechXPOT</w:t>
        <w:br/>
        <w:t xml:space="preserve">Time: </w:t>
      </w:r>
      <w:r>
        <w:rPr>
          <w:lang w:val="en-US" w:eastAsia="en-US"/>
        </w:rPr>
        <w:t>Thursday, September 3, 13:20–13:40</w:t>
        <w:br/>
      </w:r>
      <w:r>
        <w:rPr>
          <w:b/>
          <w:bCs/>
          <w:lang w:val="en-US" w:eastAsia="en-US"/>
        </w:rPr>
        <w:t xml:space="preserve">Location: </w:t>
      </w:r>
      <w:r>
        <w:rPr>
          <w:lang w:val="en-US" w:eastAsia="en-US"/>
        </w:rPr>
        <w:t>TaiNEX Hall 2, Booth Q6252</w:t>
        <w:br/>
      </w:r>
      <w:r>
        <w:rPr>
          <w:b/>
          <w:bCs/>
          <w:lang w:val="en-US" w:eastAsia="en-US"/>
        </w:rPr>
        <w:t xml:space="preserve">Topic: </w:t>
      </w:r>
      <w:r>
        <w:rPr>
          <w:lang w:val="en-US" w:eastAsia="en-US"/>
        </w:rPr>
        <w:t>View It to Understand It, Quantify It to Improve It: The New Role of In-Line 3D CT X-ray Inspection in Semiconductor Back-End Processes</w:t>
      </w:r>
    </w:p>
    <w:p>
      <w:pPr>
        <w:pStyle w:val="Normal"/>
        <w:rPr>
          <w:b/>
          <w:bCs/>
          <w:sz w:val="24"/>
          <w:szCs w:val="24"/>
          <w:lang w:val="en-US" w:eastAsia="en-US"/>
        </w:rPr>
      </w:pPr>
      <w:r>
        <w:rPr>
          <w:b/>
          <w:bCs/>
          <w:sz w:val="24"/>
          <w:szCs w:val="24"/>
          <w:lang w:val="en-US" w:eastAsia="en-US"/>
        </w:rPr>
      </w:r>
    </w:p>
    <w:p>
      <w:pPr>
        <w:pStyle w:val="Normal"/>
        <w:rPr>
          <w:b/>
          <w:bCs/>
          <w:sz w:val="24"/>
          <w:szCs w:val="24"/>
          <w:lang w:val="en-US" w:eastAsia="en-US"/>
        </w:rPr>
      </w:pPr>
      <w:r>
        <w:rPr>
          <w:b w:val="false"/>
          <w:bCs/>
          <w:i w:val="false"/>
          <w:caps w:val="false"/>
          <w:smallCaps w:val="false"/>
          <w:color w:val="000000"/>
          <w:spacing w:val="0"/>
          <w:sz w:val="24"/>
          <w:szCs w:val="24"/>
          <w:lang w:val="en-US" w:eastAsia="en-US"/>
        </w:rPr>
        <w:t>Visit the page to book an OMRON booth tour and learn more about the expert seminars:</w:t>
      </w:r>
      <w:r>
        <w:rPr>
          <w:b/>
          <w:bCs/>
          <w:sz w:val="24"/>
          <w:szCs w:val="24"/>
          <w:lang w:val="en-US" w:eastAsia="en-US"/>
        </w:rPr>
        <w:br/>
      </w:r>
      <w:hyperlink r:id="rId2">
        <w:r>
          <w:rPr>
            <w:rStyle w:val="Hyperlink"/>
            <w:b w:val="false"/>
            <w:bCs/>
            <w:i w:val="false"/>
            <w:caps w:val="false"/>
            <w:smallCaps w:val="false"/>
            <w:spacing w:val="0"/>
            <w:sz w:val="24"/>
            <w:szCs w:val="24"/>
            <w:lang w:val="en-US" w:eastAsia="en-US"/>
          </w:rPr>
          <w:t>https://fast.globalpr.agency/omron-at-semicon-taiwan-2026-en</w:t>
        </w:r>
      </w:hyperlink>
      <w:r>
        <w:rPr>
          <w:b/>
          <w:bCs/>
          <w:sz w:val="24"/>
          <w:szCs w:val="24"/>
          <w:lang w:val="en-US" w:eastAsia="en-US"/>
        </w:rPr>
        <w:t xml:space="preserve"> </w:t>
      </w:r>
    </w:p>
    <w:p>
      <w:pPr>
        <w:pStyle w:val="Normal"/>
        <w:rPr>
          <w:b/>
          <w:bCs/>
          <w:sz w:val="24"/>
          <w:szCs w:val="24"/>
          <w:lang w:val="en-US" w:eastAsia="en-US"/>
        </w:rPr>
      </w:pPr>
      <w:r>
        <w:rPr>
          <w:b/>
          <w:bCs/>
          <w:sz w:val="24"/>
          <w:szCs w:val="24"/>
          <w:lang w:val="en-US" w:eastAsia="en-US"/>
        </w:rPr>
      </w:r>
    </w:p>
    <w:p>
      <w:pPr>
        <w:pStyle w:val="Heading3"/>
        <w:keepNext w:val="false"/>
        <w:spacing w:before="0" w:after="0"/>
        <w:outlineLvl w:val="9"/>
        <w:rPr>
          <w:sz w:val="26"/>
          <w:szCs w:val="26"/>
        </w:rPr>
      </w:pPr>
      <w:r>
        <w:rPr>
          <w:rFonts w:eastAsia="Times New Roman" w:cs="Times New Roman"/>
          <w:i w:val="false"/>
          <w:sz w:val="26"/>
          <w:szCs w:val="26"/>
          <w:lang w:val="en-US" w:eastAsia="en-US"/>
        </w:rPr>
        <w:t>Media Contact</w:t>
      </w:r>
    </w:p>
    <w:p>
      <w:pPr>
        <w:pStyle w:val="Normal"/>
        <w:rPr>
          <w:b/>
          <w:bCs/>
          <w:sz w:val="24"/>
          <w:szCs w:val="24"/>
          <w:lang w:val="en-US" w:eastAsia="en-US"/>
        </w:rPr>
      </w:pPr>
      <w:r>
        <w:rPr>
          <w:b/>
          <w:bCs/>
          <w:lang w:val="en-US" w:eastAsia="en-US"/>
        </w:rPr>
        <w:t xml:space="preserve">Contact: </w:t>
      </w:r>
      <w:r>
        <w:rPr>
          <w:lang w:val="en-US" w:eastAsia="en-US"/>
        </w:rPr>
        <w:t>Global Communications Section, Automated Inspection Business Division, Industrial Automation Business Company, OMRON Corporation</w:t>
        <w:br/>
      </w:r>
      <w:r>
        <w:rPr>
          <w:b/>
          <w:bCs/>
          <w:lang w:val="en-US" w:eastAsia="en-US"/>
        </w:rPr>
        <w:t xml:space="preserve">Email: </w:t>
      </w:r>
      <w:hyperlink r:id="rId3">
        <w:r>
          <w:rPr>
            <w:rStyle w:val="Hyperlink"/>
            <w:lang w:val="en-US" w:eastAsia="en-US"/>
          </w:rPr>
          <w:t>naiyuan.yeh@omron.com</w:t>
        </w:r>
      </w:hyperlink>
      <w:r>
        <w:rPr>
          <w:lang w:val="en-US" w:eastAsia="en-US"/>
        </w:rPr>
        <w:t xml:space="preserve"> (Nai-Yuan Yeh) </w:t>
        <w:br/>
      </w:r>
    </w:p>
    <w:p>
      <w:pPr>
        <w:pStyle w:val="Heading3"/>
        <w:keepNext w:val="false"/>
        <w:spacing w:before="0" w:after="0"/>
        <w:outlineLvl w:val="9"/>
        <w:rPr>
          <w:sz w:val="26"/>
          <w:szCs w:val="26"/>
        </w:rPr>
      </w:pPr>
      <w:r>
        <w:rPr>
          <w:rFonts w:eastAsia="Times New Roman" w:cs="Times New Roman"/>
          <w:i w:val="false"/>
          <w:sz w:val="26"/>
          <w:szCs w:val="26"/>
          <w:lang w:val="en-US" w:eastAsia="en-US"/>
        </w:rPr>
        <w:t>About OMRON Corporation</w:t>
      </w:r>
    </w:p>
    <w:p>
      <w:pPr>
        <w:pStyle w:val="Normal"/>
        <w:rPr>
          <w:sz w:val="24"/>
          <w:szCs w:val="24"/>
          <w:lang w:val="en-US" w:eastAsia="en-US"/>
        </w:rPr>
      </w:pPr>
      <w:r>
        <w:rPr>
          <w:lang w:val="en-US" w:eastAsia="en-US"/>
        </w:rPr>
        <w:t xml:space="preserve">OMRON Corporation is a leading automation company whose core competencies are Sensing and Control + Think technology. Its businesses include industrial automation, healthcare, social systems, and device and module solutions. OMRON creates new value by leveraging diverse data generated across these businesses and connecting it with its data solutions business. Established in 1933, OMRON has approximately 27,000 employees worldwide and provides products and services in more than 130 countries, contributing to the creation of a better society. </w:t>
        <w:br/>
        <w:br/>
        <w:t xml:space="preserve">More information is available at </w:t>
      </w:r>
      <w:hyperlink r:id="rId4" w:tgtFrame="_blank">
        <w:r>
          <w:rPr>
            <w:rStyle w:val="Style3"/>
            <w:color w:val="0000EE"/>
            <w:u w:val="single" w:color="0000EE"/>
            <w:lang w:val="en-US" w:eastAsia="en-US"/>
          </w:rPr>
          <w:t>www.omron.com</w:t>
        </w:r>
      </w:hyperlink>
      <w:r>
        <w:rPr>
          <w:lang w:val="en-US" w:eastAsia="en-US"/>
        </w:rPr>
        <w:t xml:space="preserve">. </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TC"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Noto Serif TC"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 w:type="paragraph" w:styleId="user">
    <w:name w:val="標題 (user)"/>
    <w:basedOn w:val="Normal"/>
    <w:next w:val="BodyText"/>
    <w:qFormat/>
    <w:pPr>
      <w:keepNext w:val="true"/>
      <w:spacing w:before="240" w:after="120"/>
    </w:pPr>
    <w:rPr>
      <w:rFonts w:ascii="Liberation Sans" w:hAnsi="Liberation Sans" w:eastAsia="思源黑體" w:cs="Lucida Sans"/>
      <w:sz w:val="28"/>
      <w:szCs w:val="28"/>
    </w:rPr>
  </w:style>
  <w:style w:type="paragraph" w:styleId="user1">
    <w:name w:val="索引 (user)"/>
    <w:basedOn w:val="Normal"/>
    <w:qFormat/>
    <w:pPr>
      <w:suppressLineNumbers/>
    </w:pPr>
    <w:rPr>
      <w:rFonts w:cs="Lucida Sans"/>
    </w:r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fast.globalpr.agency/omron-at-semicon-taiwan-2026-en" TargetMode="External"/><Relationship Id="rId3" Type="http://schemas.openxmlformats.org/officeDocument/2006/relationships/hyperlink" Target="mailto:naiyuan.yeh@omron.com" TargetMode="External"/><Relationship Id="rId4" Type="http://schemas.openxmlformats.org/officeDocument/2006/relationships/hyperlink" Target="https://www.omron.com/global/en/"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LibreOffice/26.2.5.2$Windows_X86_64 LibreOffice_project/cd7284b4cbbfeb507e630c1aac019f4157393acb</Application>
  <AppVersion>15.0000</AppVersion>
  <Pages>3</Pages>
  <Words>616</Words>
  <Characters>4048</Characters>
  <CharactersWithSpaces>4666</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2026-08-20T12:45:58Z</dcterms:modified>
  <cp:revision>4</cp:revision>
  <dc:subject/>
  <dc:title>OMRON to Showcase Semiconductor Manufacturing Inspection
and Automation Solutions at SEMICON Taiwan 2026</dc:title>
</cp:coreProperties>
</file>

<file path=docProps/custom.xml><?xml version="1.0" encoding="utf-8"?>
<Properties xmlns="http://schemas.openxmlformats.org/officeDocument/2006/custom-properties" xmlns:vt="http://schemas.openxmlformats.org/officeDocument/2006/docPropsVTypes"/>
</file>