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spacing w:before="0" w:after="0"/>
        <w:jc w:val="center"/>
        <w:outlineLvl w:val="9"/>
        <w:rPr>
          <w:rFonts w:ascii="微軟正黑體" w:hAnsi="微軟正黑體" w:eastAsia="微軟正黑體"/>
          <w:sz w:val="28"/>
          <w:szCs w:val="28"/>
        </w:rPr>
      </w:pPr>
      <w:r>
        <w:rPr>
          <w:rFonts w:ascii="微軟正黑體" w:hAnsi="微軟正黑體" w:cs="MS UI Gothic" w:eastAsia="微軟正黑體"/>
          <w:i w:val="false"/>
          <w:sz w:val="28"/>
          <w:szCs w:val="28"/>
        </w:rPr>
        <w:t>歐姆龍將於</w:t>
      </w:r>
      <w:r>
        <w:rPr>
          <w:rFonts w:ascii="微軟正黑體" w:hAnsi="微軟正黑體" w:cs="Times New Roman" w:eastAsia="微軟正黑體"/>
          <w:i w:val="false"/>
          <w:sz w:val="28"/>
          <w:szCs w:val="28"/>
        </w:rPr>
        <w:t xml:space="preserve"> </w:t>
      </w:r>
      <w:r>
        <w:rPr>
          <w:rFonts w:eastAsia="微軟正黑體" w:cs="Times New Roman" w:ascii="微軟正黑體" w:hAnsi="微軟正黑體"/>
          <w:i w:val="false"/>
          <w:sz w:val="28"/>
          <w:szCs w:val="28"/>
        </w:rPr>
        <w:t xml:space="preserve">SEMICON Taiwan 2026 </w:t>
      </w:r>
      <w:r>
        <w:rPr>
          <w:rFonts w:ascii="微軟正黑體" w:hAnsi="微軟正黑體" w:cs="MS UI Gothic" w:eastAsia="微軟正黑體"/>
          <w:i w:val="false"/>
          <w:sz w:val="28"/>
          <w:szCs w:val="28"/>
        </w:rPr>
        <w:t>展示半導體製造檢</w:t>
      </w:r>
      <w:r>
        <w:rPr>
          <w:rFonts w:ascii="微軟正黑體" w:hAnsi="微軟正黑體" w:cs="PMingLiU" w:eastAsia="微軟正黑體"/>
          <w:i w:val="false"/>
          <w:sz w:val="28"/>
          <w:szCs w:val="28"/>
        </w:rPr>
        <w:t>查</w:t>
      </w:r>
      <w:r>
        <w:rPr>
          <w:rFonts w:ascii="微軟正黑體" w:hAnsi="微軟正黑體" w:cs="MS UI Gothic" w:eastAsia="微軟正黑體"/>
          <w:i w:val="false"/>
          <w:sz w:val="28"/>
          <w:szCs w:val="28"/>
        </w:rPr>
        <w:t>與自動化解決方案</w:t>
      </w:r>
    </w:p>
    <w:p>
      <w:pPr>
        <w:pStyle w:val="Heading2"/>
        <w:keepNext w:val="false"/>
        <w:spacing w:before="299" w:after="299"/>
        <w:jc w:val="center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/>
          <w:sz w:val="26"/>
          <w:szCs w:val="26"/>
        </w:rPr>
        <w:t>歐姆龍以</w:t>
      </w:r>
      <w:r>
        <w:rPr>
          <w:rFonts w:ascii="微軟正黑體" w:hAnsi="微軟正黑體" w:cs="Times New Roman" w:eastAsia="微軟正黑體"/>
          <w:i/>
          <w:sz w:val="26"/>
          <w:szCs w:val="26"/>
        </w:rPr>
        <w:t xml:space="preserve"> </w:t>
      </w:r>
      <w:r>
        <w:rPr>
          <w:rFonts w:eastAsia="微軟正黑體" w:cs="Times New Roman" w:ascii="微軟正黑體" w:hAnsi="微軟正黑體"/>
          <w:i/>
          <w:sz w:val="26"/>
          <w:szCs w:val="26"/>
        </w:rPr>
        <w:t>CT</w:t>
      </w:r>
      <w:r>
        <w:rPr>
          <w:rFonts w:ascii="微軟正黑體" w:hAnsi="微軟正黑體" w:cs="MS UI Gothic" w:eastAsia="微軟正黑體"/>
          <w:i/>
          <w:sz w:val="26"/>
          <w:szCs w:val="26"/>
        </w:rPr>
        <w:t>型</w:t>
      </w:r>
      <w:r>
        <w:rPr>
          <w:rFonts w:ascii="微軟正黑體" w:hAnsi="微軟正黑體" w:cs="Times New Roman" w:eastAsia="微軟正黑體"/>
          <w:i/>
          <w:sz w:val="26"/>
          <w:szCs w:val="26"/>
        </w:rPr>
        <w:t xml:space="preserve"> </w:t>
      </w:r>
      <w:r>
        <w:rPr>
          <w:rFonts w:eastAsia="微軟正黑體" w:cs="Times New Roman" w:ascii="微軟正黑體" w:hAnsi="微軟正黑體"/>
          <w:i/>
          <w:sz w:val="26"/>
          <w:szCs w:val="26"/>
        </w:rPr>
        <w:t>3D X-ray</w:t>
      </w:r>
      <w:r>
        <w:rPr>
          <w:rFonts w:ascii="微軟正黑體" w:hAnsi="微軟正黑體" w:cs="MS UI Gothic" w:eastAsia="微軟正黑體"/>
          <w:i/>
          <w:sz w:val="26"/>
          <w:szCs w:val="26"/>
        </w:rPr>
        <w:t>檢測系統、</w:t>
      </w:r>
      <w:r>
        <w:rPr>
          <w:rFonts w:eastAsia="微軟正黑體" w:cs="Times New Roman" w:ascii="微軟正黑體" w:hAnsi="微軟正黑體"/>
          <w:i/>
          <w:sz w:val="26"/>
          <w:szCs w:val="26"/>
        </w:rPr>
        <w:t xml:space="preserve">Digital Twin </w:t>
      </w:r>
      <w:r>
        <w:rPr>
          <w:rFonts w:ascii="微軟正黑體" w:hAnsi="微軟正黑體" w:cs="MS UI Gothic" w:eastAsia="微軟正黑體"/>
          <w:i/>
          <w:sz w:val="26"/>
          <w:szCs w:val="26"/>
        </w:rPr>
        <w:t>與</w:t>
      </w:r>
      <w:r>
        <w:rPr>
          <w:rFonts w:ascii="微軟正黑體" w:hAnsi="微軟正黑體" w:cs="Times New Roman" w:eastAsia="微軟正黑體"/>
          <w:i/>
          <w:sz w:val="26"/>
          <w:szCs w:val="26"/>
        </w:rPr>
        <w:t xml:space="preserve"> </w:t>
      </w:r>
      <w:r>
        <w:rPr>
          <w:rFonts w:eastAsia="微軟正黑體" w:cs="Times New Roman" w:ascii="微軟正黑體" w:hAnsi="微軟正黑體"/>
          <w:i/>
          <w:sz w:val="26"/>
          <w:szCs w:val="26"/>
        </w:rPr>
        <w:t>Quality Data</w:t>
      </w:r>
      <w:r>
        <w:rPr>
          <w:rFonts w:ascii="微軟正黑體" w:hAnsi="微軟正黑體" w:cs="MS UI Gothic" w:eastAsia="微軟正黑體"/>
          <w:i/>
          <w:sz w:val="26"/>
          <w:szCs w:val="26"/>
        </w:rPr>
        <w:t>的技術活用</w:t>
      </w:r>
      <w:r>
        <w:rPr>
          <w:rFonts w:eastAsia="微軟正黑體" w:cs="Times New Roman" w:ascii="微軟正黑體" w:hAnsi="微軟正黑體"/>
          <w:i/>
          <w:sz w:val="26"/>
          <w:szCs w:val="26"/>
        </w:rPr>
        <w:br/>
      </w:r>
      <w:r>
        <w:rPr>
          <w:rFonts w:ascii="微軟正黑體" w:hAnsi="微軟正黑體" w:cs="MS UI Gothic" w:eastAsia="微軟正黑體"/>
          <w:i/>
          <w:sz w:val="26"/>
          <w:szCs w:val="26"/>
        </w:rPr>
        <w:t>支援先進封裝時代的品質可視化與工程改善</w:t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ascii="微軟正黑體" w:hAnsi="微軟正黑體" w:cs="MS UI Gothic" w:eastAsia="微軟正黑體"/>
          <w:b/>
          <w:bCs/>
        </w:rPr>
        <w:t>日本京都，</w:t>
      </w:r>
      <w:r>
        <w:rPr>
          <w:rFonts w:eastAsia="微軟正黑體" w:ascii="微軟正黑體" w:hAnsi="微軟正黑體"/>
          <w:b/>
          <w:bCs/>
        </w:rPr>
        <w:t xml:space="preserve">2026 </w:t>
      </w:r>
      <w:r>
        <w:rPr>
          <w:rFonts w:ascii="微軟正黑體" w:hAnsi="微軟正黑體" w:cs="MS UI Gothic" w:eastAsia="微軟正黑體"/>
          <w:b/>
          <w:bCs/>
        </w:rPr>
        <w:t>年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 xml:space="preserve">8 </w:t>
      </w:r>
      <w:r>
        <w:rPr>
          <w:rFonts w:ascii="微軟正黑體" w:hAnsi="微軟正黑體" w:cs="MS UI Gothic" w:eastAsia="微軟正黑體"/>
          <w:b/>
          <w:bCs/>
        </w:rPr>
        <w:t>月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 xml:space="preserve">20 </w:t>
      </w:r>
      <w:r>
        <w:rPr>
          <w:rFonts w:ascii="微軟正黑體" w:hAnsi="微軟正黑體" w:cs="MS UI Gothic" w:eastAsia="微軟正黑體"/>
          <w:b/>
          <w:bCs/>
        </w:rPr>
        <w:t>日</w:t>
      </w:r>
      <w:r>
        <w:rPr>
          <w:rFonts w:ascii="微軟正黑體" w:hAnsi="微軟正黑體" w:eastAsia="微軟正黑體"/>
          <w:b/>
          <w:bCs/>
        </w:rPr>
        <w:t xml:space="preserve"> –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MS UI Gothic" w:eastAsia="微軟正黑體"/>
        </w:rPr>
        <w:t>歐姆龍將於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2026 </w:t>
      </w:r>
      <w:r>
        <w:rPr>
          <w:rFonts w:ascii="微軟正黑體" w:hAnsi="微軟正黑體" w:cs="MS UI Gothic" w:eastAsia="微軟正黑體"/>
        </w:rPr>
        <w:t>年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9 </w:t>
      </w:r>
      <w:r>
        <w:rPr>
          <w:rFonts w:ascii="微軟正黑體" w:hAnsi="微軟正黑體" w:cs="MS UI Gothic" w:eastAsia="微軟正黑體"/>
        </w:rPr>
        <w:t>月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2 </w:t>
      </w:r>
      <w:r>
        <w:rPr>
          <w:rFonts w:ascii="微軟正黑體" w:hAnsi="微軟正黑體" w:cs="MS UI Gothic" w:eastAsia="微軟正黑體"/>
        </w:rPr>
        <w:t>日至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9 </w:t>
      </w:r>
      <w:r>
        <w:rPr>
          <w:rFonts w:ascii="微軟正黑體" w:hAnsi="微軟正黑體" w:cs="MS UI Gothic" w:eastAsia="微軟正黑體"/>
        </w:rPr>
        <w:t>月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4 </w:t>
      </w:r>
      <w:r>
        <w:rPr>
          <w:rFonts w:ascii="微軟正黑體" w:hAnsi="微軟正黑體" w:cs="MS UI Gothic" w:eastAsia="微軟正黑體"/>
        </w:rPr>
        <w:t>日在台北南港展覽館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TaiNEX 1 &amp; 2 </w:t>
      </w:r>
      <w:r>
        <w:rPr>
          <w:rFonts w:ascii="微軟正黑體" w:hAnsi="微軟正黑體" w:cs="MS UI Gothic" w:eastAsia="微軟正黑體"/>
        </w:rPr>
        <w:t>舉辦的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SEMICON Taiwan 2026 </w:t>
      </w:r>
      <w:r>
        <w:rPr>
          <w:rFonts w:ascii="微軟正黑體" w:hAnsi="微軟正黑體" w:cs="MS UI Gothic" w:eastAsia="微軟正黑體"/>
        </w:rPr>
        <w:t>出展，於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TaiNEX 2</w:t>
      </w:r>
      <w:r>
        <w:rPr>
          <w:rFonts w:ascii="微軟正黑體" w:hAnsi="微軟正黑體" w:cs="MS UI Gothic" w:eastAsia="微軟正黑體"/>
        </w:rPr>
        <w:t>館・</w:t>
      </w:r>
      <w:r>
        <w:rPr>
          <w:rFonts w:eastAsia="微軟正黑體" w:ascii="微軟正黑體" w:hAnsi="微軟正黑體"/>
        </w:rPr>
        <w:t>1F</w:t>
      </w:r>
      <w:r>
        <w:rPr>
          <w:rFonts w:ascii="微軟正黑體" w:hAnsi="微軟正黑體" w:cs="MS UI Gothic" w:eastAsia="微軟正黑體"/>
        </w:rPr>
        <w:t>・</w:t>
      </w:r>
      <w:r>
        <w:rPr>
          <w:rFonts w:eastAsia="微軟正黑體" w:ascii="微軟正黑體" w:hAnsi="微軟正黑體"/>
        </w:rPr>
        <w:t xml:space="preserve">Q5842 </w:t>
      </w:r>
      <w:r>
        <w:rPr>
          <w:rFonts w:ascii="微軟正黑體" w:hAnsi="微軟正黑體" w:cs="MS UI Gothic" w:eastAsia="微軟正黑體"/>
        </w:rPr>
        <w:t>攤位展示面向半導體與電子零組件製造現場的檢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自動化解決方案。面對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AI</w:t>
      </w:r>
      <w:r>
        <w:rPr>
          <w:rFonts w:ascii="微軟正黑體" w:hAnsi="微軟正黑體" w:cs="MS UI Gothic" w:eastAsia="微軟正黑體"/>
        </w:rPr>
        <w:t>、</w:t>
      </w:r>
      <w:r>
        <w:rPr>
          <w:rFonts w:eastAsia="微軟正黑體" w:ascii="微軟正黑體" w:hAnsi="微軟正黑體"/>
        </w:rPr>
        <w:t xml:space="preserve">HPC </w:t>
      </w:r>
      <w:r>
        <w:rPr>
          <w:rFonts w:ascii="微軟正黑體" w:hAnsi="微軟正黑體" w:cs="MS UI Gothic" w:eastAsia="微軟正黑體"/>
        </w:rPr>
        <w:t>與先進封裝快速發展，半導體製程中的品質課題正從「能否檢出不良」進一步走向「能否理解不良原因，並將檢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數據活用於工程改善」。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  <w:br/>
      </w:r>
      <w:r>
        <w:rPr>
          <w:rFonts w:ascii="微軟正黑體" w:hAnsi="微軟正黑體" w:cs="MS UI Gothic" w:eastAsia="微軟正黑體"/>
        </w:rPr>
        <w:t>歐姆龍本次將以品質可視化與數據活用為核心，介紹從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R&amp;D</w:t>
      </w:r>
      <w:r>
        <w:rPr>
          <w:rFonts w:ascii="微軟正黑體" w:hAnsi="微軟正黑體" w:cs="MS UI Gothic" w:eastAsia="微軟正黑體"/>
        </w:rPr>
        <w:t>、試作評價到量</w:t>
      </w:r>
      <w:r>
        <w:rPr>
          <w:rFonts w:ascii="微軟正黑體" w:hAnsi="微軟正黑體" w:cs="PMingLiU" w:eastAsia="微軟正黑體"/>
        </w:rPr>
        <w:t>產</w:t>
      </w:r>
      <w:r>
        <w:rPr>
          <w:rFonts w:ascii="微軟正黑體" w:hAnsi="微軟正黑體" w:cs="MS UI Gothic" w:eastAsia="微軟正黑體"/>
        </w:rPr>
        <w:t>工程皆可活用的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3D X-ray </w:t>
      </w:r>
      <w:r>
        <w:rPr>
          <w:rFonts w:ascii="微軟正黑體" w:hAnsi="微軟正黑體" w:cs="MS UI Gothic" w:eastAsia="微軟正黑體"/>
        </w:rPr>
        <w:t>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、</w:t>
      </w:r>
      <w:r>
        <w:rPr>
          <w:rFonts w:eastAsia="微軟正黑體" w:ascii="微軟正黑體" w:hAnsi="微軟正黑體"/>
        </w:rPr>
        <w:t xml:space="preserve">Digital Twin </w:t>
      </w:r>
      <w:r>
        <w:rPr>
          <w:rFonts w:ascii="微軟正黑體" w:hAnsi="微軟正黑體" w:cs="MS UI Gothic" w:eastAsia="微軟正黑體"/>
        </w:rPr>
        <w:t>以及面向半導體製造現場應用的自動化控制解決方案。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</w:r>
    </w:p>
    <w:p>
      <w:pPr>
        <w:pStyle w:val="Heading3"/>
        <w:keepNext w:val="false"/>
        <w:spacing w:before="0" w:after="0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 w:val="false"/>
          <w:sz w:val="26"/>
          <w:szCs w:val="26"/>
        </w:rPr>
        <w:t>展示概念：品質可視化，驅動</w:t>
      </w:r>
      <w:r>
        <w:rPr>
          <w:rFonts w:ascii="微軟正黑體" w:hAnsi="微軟正黑體" w:cs="Times New Roman" w:eastAsia="微軟正黑體"/>
          <w:i w:val="false"/>
          <w:sz w:val="26"/>
          <w:szCs w:val="26"/>
        </w:rPr>
        <w:t xml:space="preserve"> </w:t>
      </w:r>
      <w:r>
        <w:rPr>
          <w:rFonts w:eastAsia="微軟正黑體" w:cs="Times New Roman" w:ascii="微軟正黑體" w:hAnsi="微軟正黑體"/>
          <w:i w:val="false"/>
          <w:sz w:val="26"/>
          <w:szCs w:val="26"/>
        </w:rPr>
        <w:t xml:space="preserve">AI </w:t>
      </w:r>
      <w:r>
        <w:rPr>
          <w:rFonts w:ascii="微軟正黑體" w:hAnsi="微軟正黑體" w:cs="MS UI Gothic" w:eastAsia="微軟正黑體"/>
          <w:i w:val="false"/>
          <w:sz w:val="26"/>
          <w:szCs w:val="26"/>
        </w:rPr>
        <w:t>製造的下一步</w:t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>3D CT</w:t>
      </w:r>
      <w:r>
        <w:rPr>
          <w:rFonts w:ascii="微軟正黑體" w:hAnsi="微軟正黑體" w:cs="MS UI Gothic" w:eastAsia="微軟正黑體"/>
        </w:rPr>
        <w:t>實現</w:t>
      </w:r>
      <w:r>
        <w:rPr>
          <w:rFonts w:ascii="微軟正黑體" w:hAnsi="微軟正黑體" w:cs="PMingLiU" w:eastAsia="微軟正黑體"/>
        </w:rPr>
        <w:t>內</w:t>
      </w:r>
      <w:r>
        <w:rPr>
          <w:rFonts w:ascii="微軟正黑體" w:hAnsi="微軟正黑體" w:cs="MS UI Gothic" w:eastAsia="微軟正黑體"/>
        </w:rPr>
        <w:t>部狀態的可視化與品質的量化。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  <w:br/>
      </w:r>
      <w:r>
        <w:rPr>
          <w:rFonts w:ascii="微軟正黑體" w:hAnsi="微軟正黑體" w:cs="MS UI Gothic" w:eastAsia="微軟正黑體"/>
        </w:rPr>
        <w:t>將檢測數據進化為品質數據，從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R&amp;D </w:t>
      </w:r>
      <w:r>
        <w:rPr>
          <w:rFonts w:ascii="微軟正黑體" w:hAnsi="微軟正黑體" w:cs="MS UI Gothic" w:eastAsia="微軟正黑體"/>
        </w:rPr>
        <w:t>到量</w:t>
      </w:r>
      <w:r>
        <w:rPr>
          <w:rFonts w:ascii="微軟正黑體" w:hAnsi="微軟正黑體" w:cs="PMingLiU" w:eastAsia="微軟正黑體"/>
        </w:rPr>
        <w:t>產</w:t>
      </w:r>
      <w:r>
        <w:rPr>
          <w:rFonts w:ascii="微軟正黑體" w:hAnsi="微軟正黑體" w:cs="MS UI Gothic" w:eastAsia="微軟正黑體"/>
        </w:rPr>
        <w:t>，支援持續的製程改善。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</w:r>
    </w:p>
    <w:p>
      <w:pPr>
        <w:pStyle w:val="Heading3"/>
        <w:keepNext w:val="false"/>
        <w:spacing w:before="0" w:after="0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 w:val="false"/>
          <w:sz w:val="26"/>
          <w:szCs w:val="26"/>
        </w:rPr>
        <w:t>出展概要</w:t>
      </w:r>
    </w:p>
    <w:tbl>
      <w:tblPr>
        <w:tblW w:w="5000" w:type="pct"/>
        <w:jc w:val="left"/>
        <w:tblInd w:w="136" w:type="dxa"/>
        <w:tblLayout w:type="fixed"/>
        <w:tblCellMar>
          <w:top w:w="128" w:type="dxa"/>
          <w:left w:w="128" w:type="dxa"/>
          <w:bottom w:w="128" w:type="dxa"/>
          <w:right w:w="128" w:type="dxa"/>
        </w:tblCellMar>
      </w:tblPr>
      <w:tblGrid>
        <w:gridCol w:w="2028"/>
        <w:gridCol w:w="7332"/>
      </w:tblGrid>
      <w:tr>
        <w:trPr/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hd w:val="clear" w:color="auto" w:fill="F2F2F2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  <w:b/>
                <w:bCs/>
              </w:rPr>
              <w:t>展會名稱</w:t>
            </w:r>
          </w:p>
        </w:tc>
        <w:tc>
          <w:tcPr>
            <w:tcW w:w="7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  <w:t>SEMICON Taiwan 2026</w:t>
            </w:r>
          </w:p>
        </w:tc>
      </w:tr>
      <w:tr>
        <w:trPr/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hd w:val="clear" w:color="auto" w:fill="F2F2F2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  <w:b/>
                <w:bCs/>
              </w:rPr>
              <w:t>展期</w:t>
            </w:r>
          </w:p>
        </w:tc>
        <w:tc>
          <w:tcPr>
            <w:tcW w:w="7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  <w:t xml:space="preserve">2026 </w:t>
            </w:r>
            <w:r>
              <w:rPr>
                <w:rFonts w:ascii="微軟正黑體" w:hAnsi="微軟正黑體" w:cs="MS UI Gothic" w:eastAsia="微軟正黑體"/>
              </w:rPr>
              <w:t>年</w:t>
            </w:r>
            <w:r>
              <w:rPr>
                <w:rFonts w:ascii="微軟正黑體" w:hAnsi="微軟正黑體" w:eastAsia="微軟正黑體"/>
              </w:rPr>
              <w:t xml:space="preserve"> </w:t>
            </w:r>
            <w:r>
              <w:rPr>
                <w:rFonts w:eastAsia="微軟正黑體" w:ascii="微軟正黑體" w:hAnsi="微軟正黑體"/>
              </w:rPr>
              <w:t xml:space="preserve">9 </w:t>
            </w:r>
            <w:r>
              <w:rPr>
                <w:rFonts w:ascii="微軟正黑體" w:hAnsi="微軟正黑體" w:cs="MS UI Gothic" w:eastAsia="微軟正黑體"/>
              </w:rPr>
              <w:t>月</w:t>
            </w:r>
            <w:r>
              <w:rPr>
                <w:rFonts w:ascii="微軟正黑體" w:hAnsi="微軟正黑體" w:eastAsia="微軟正黑體"/>
              </w:rPr>
              <w:t xml:space="preserve"> </w:t>
            </w:r>
            <w:r>
              <w:rPr>
                <w:rFonts w:eastAsia="微軟正黑體" w:ascii="微軟正黑體" w:hAnsi="微軟正黑體"/>
              </w:rPr>
              <w:t xml:space="preserve">2 </w:t>
            </w:r>
            <w:r>
              <w:rPr>
                <w:rFonts w:ascii="微軟正黑體" w:hAnsi="微軟正黑體" w:cs="MS UI Gothic" w:eastAsia="微軟正黑體"/>
              </w:rPr>
              <w:t>日（三）～</w:t>
            </w:r>
            <w:r>
              <w:rPr>
                <w:rFonts w:ascii="微軟正黑體" w:hAnsi="微軟正黑體" w:eastAsia="微軟正黑體"/>
              </w:rPr>
              <w:t xml:space="preserve"> </w:t>
            </w:r>
            <w:r>
              <w:rPr>
                <w:rFonts w:eastAsia="微軟正黑體" w:ascii="微軟正黑體" w:hAnsi="微軟正黑體"/>
              </w:rPr>
              <w:t xml:space="preserve">9 </w:t>
            </w:r>
            <w:r>
              <w:rPr>
                <w:rFonts w:ascii="微軟正黑體" w:hAnsi="微軟正黑體" w:cs="MS UI Gothic" w:eastAsia="微軟正黑體"/>
              </w:rPr>
              <w:t>月</w:t>
            </w:r>
            <w:r>
              <w:rPr>
                <w:rFonts w:ascii="微軟正黑體" w:hAnsi="微軟正黑體" w:eastAsia="微軟正黑體"/>
              </w:rPr>
              <w:t xml:space="preserve"> </w:t>
            </w:r>
            <w:r>
              <w:rPr>
                <w:rFonts w:eastAsia="微軟正黑體" w:ascii="微軟正黑體" w:hAnsi="微軟正黑體"/>
              </w:rPr>
              <w:t xml:space="preserve">4 </w:t>
            </w:r>
            <w:r>
              <w:rPr>
                <w:rFonts w:ascii="微軟正黑體" w:hAnsi="微軟正黑體" w:cs="MS UI Gothic" w:eastAsia="微軟正黑體"/>
              </w:rPr>
              <w:t>日（五）</w:t>
            </w:r>
          </w:p>
        </w:tc>
      </w:tr>
      <w:tr>
        <w:trPr/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hd w:val="clear" w:color="auto" w:fill="F2F2F2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  <w:b/>
                <w:bCs/>
              </w:rPr>
              <w:t>會場</w:t>
            </w:r>
          </w:p>
        </w:tc>
        <w:tc>
          <w:tcPr>
            <w:tcW w:w="7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</w:rPr>
              <w:t>台北南港展覽館</w:t>
            </w:r>
            <w:r>
              <w:rPr>
                <w:rFonts w:ascii="微軟正黑體" w:hAnsi="微軟正黑體" w:eastAsia="微軟正黑體"/>
              </w:rPr>
              <w:t xml:space="preserve"> </w:t>
            </w:r>
            <w:r>
              <w:rPr>
                <w:rFonts w:eastAsia="微軟正黑體" w:ascii="微軟正黑體" w:hAnsi="微軟正黑體"/>
              </w:rPr>
              <w:t>TaiNEX 1 &amp; 2</w:t>
            </w:r>
          </w:p>
        </w:tc>
      </w:tr>
      <w:tr>
        <w:trPr/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hd w:val="clear" w:color="auto" w:fill="F2F2F2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  <w:b/>
                <w:bCs/>
              </w:rPr>
              <w:t>歐姆龍攤位</w:t>
            </w:r>
          </w:p>
        </w:tc>
        <w:tc>
          <w:tcPr>
            <w:tcW w:w="7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  <w:t>TaiNEX 2</w:t>
            </w:r>
            <w:r>
              <w:rPr>
                <w:rFonts w:ascii="微軟正黑體" w:hAnsi="微軟正黑體" w:cs="MS UI Gothic" w:eastAsia="微軟正黑體"/>
              </w:rPr>
              <w:t>／</w:t>
            </w:r>
            <w:r>
              <w:rPr>
                <w:rFonts w:eastAsia="微軟正黑體" w:ascii="微軟正黑體" w:hAnsi="微軟正黑體"/>
              </w:rPr>
              <w:t>1F</w:t>
            </w:r>
            <w:r>
              <w:rPr>
                <w:rFonts w:ascii="微軟正黑體" w:hAnsi="微軟正黑體" w:cs="MS UI Gothic" w:eastAsia="微軟正黑體"/>
              </w:rPr>
              <w:t>／</w:t>
            </w:r>
            <w:r>
              <w:rPr>
                <w:rFonts w:eastAsia="微軟正黑體" w:ascii="微軟正黑體" w:hAnsi="微軟正黑體"/>
              </w:rPr>
              <w:t>Q5842</w:t>
            </w:r>
          </w:p>
        </w:tc>
      </w:tr>
      <w:tr>
        <w:trPr/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hd w:val="clear" w:color="auto" w:fill="F2F2F2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  <w:b/>
                <w:bCs/>
              </w:rPr>
              <w:t>展示主軸</w:t>
            </w:r>
          </w:p>
        </w:tc>
        <w:tc>
          <w:tcPr>
            <w:tcW w:w="7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MS UI Gothic" w:eastAsia="微軟正黑體"/>
              </w:rPr>
              <w:t>半導體・電子零組件製造向け檢</w:t>
            </w:r>
            <w:r>
              <w:rPr>
                <w:rFonts w:ascii="微軟正黑體" w:hAnsi="微軟正黑體" w:cs="PMingLiU" w:eastAsia="微軟正黑體"/>
              </w:rPr>
              <w:t>查</w:t>
            </w:r>
            <w:r>
              <w:rPr>
                <w:rFonts w:ascii="微軟正黑體" w:hAnsi="微軟正黑體" w:cs="MS UI Gothic" w:eastAsia="微軟正黑體"/>
              </w:rPr>
              <w:t>自動化解決方案</w:t>
            </w:r>
          </w:p>
        </w:tc>
      </w:tr>
    </w:tbl>
    <w:p>
      <w:pPr>
        <w:pStyle w:val="Heading3"/>
        <w:keepNext w:val="false"/>
        <w:spacing w:before="0" w:after="0"/>
        <w:outlineLvl w:val="9"/>
        <w:rPr>
          <w:rFonts w:ascii="微軟正黑體" w:hAnsi="微軟正黑體" w:eastAsia="微軟正黑體" w:cs="MS UI Gothic"/>
          <w:i w:val="false"/>
          <w:sz w:val="26"/>
          <w:szCs w:val="26"/>
        </w:rPr>
      </w:pPr>
      <w:r>
        <w:rPr>
          <w:rFonts w:eastAsia="微軟正黑體" w:cs="MS UI Gothic" w:ascii="微軟正黑體" w:hAnsi="微軟正黑體"/>
          <w:i w:val="false"/>
          <w:sz w:val="26"/>
          <w:szCs w:val="26"/>
        </w:rPr>
      </w:r>
    </w:p>
    <w:p>
      <w:pPr>
        <w:pStyle w:val="Heading3"/>
        <w:spacing w:before="0" w:after="0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 w:val="false"/>
          <w:sz w:val="26"/>
          <w:szCs w:val="26"/>
        </w:rPr>
        <w:t>主要展示</w:t>
      </w:r>
      <w:r>
        <w:rPr>
          <w:rFonts w:ascii="微軟正黑體" w:hAnsi="微軟正黑體" w:cs="PMingLiU" w:eastAsia="微軟正黑體"/>
          <w:i w:val="false"/>
          <w:sz w:val="26"/>
          <w:szCs w:val="26"/>
        </w:rPr>
        <w:t>內</w:t>
      </w:r>
      <w:r>
        <w:rPr>
          <w:rFonts w:ascii="微軟正黑體" w:hAnsi="微軟正黑體" w:cs="MS UI Gothic" w:eastAsia="微軟正黑體"/>
          <w:i w:val="false"/>
          <w:sz w:val="26"/>
          <w:szCs w:val="26"/>
        </w:rPr>
        <w:t>容</w:t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  <w:b/>
          <w:bCs/>
          <w:sz w:val="24"/>
          <w:szCs w:val="24"/>
        </w:rPr>
        <w:t>■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ascii="微軟正黑體" w:hAnsi="微軟正黑體" w:cs="MS UI Gothic" w:eastAsia="微軟正黑體"/>
          <w:b/>
          <w:bCs/>
        </w:rPr>
        <w:t>面向先進封裝的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 xml:space="preserve">CT </w:t>
      </w:r>
      <w:r>
        <w:rPr>
          <w:rFonts w:ascii="微軟正黑體" w:hAnsi="微軟正黑體" w:cs="MS UI Gothic" w:eastAsia="微軟正黑體"/>
          <w:b/>
          <w:bCs/>
        </w:rPr>
        <w:t>型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 xml:space="preserve">3D X-ray </w:t>
      </w:r>
      <w:r>
        <w:rPr>
          <w:rFonts w:ascii="微軟正黑體" w:hAnsi="微軟正黑體" w:cs="MS UI Gothic" w:eastAsia="微軟正黑體"/>
          <w:b/>
          <w:bCs/>
        </w:rPr>
        <w:t>自動檢測解決方案</w:t>
      </w:r>
      <w:r>
        <w:rPr>
          <w:rFonts w:eastAsia="微軟正黑體" w:ascii="微軟正黑體" w:hAnsi="微軟正黑體"/>
          <w:b/>
          <w:bCs/>
        </w:rPr>
        <w:br/>
      </w:r>
      <w:r>
        <w:rPr>
          <w:rFonts w:ascii="微軟正黑體" w:hAnsi="微軟正黑體" w:cs="MS UI Gothic" w:eastAsia="微軟正黑體"/>
        </w:rPr>
        <w:t>針對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TGV</w:t>
      </w:r>
      <w:r>
        <w:rPr>
          <w:rFonts w:ascii="微軟正黑體" w:hAnsi="微軟正黑體" w:cs="MS UI Gothic" w:eastAsia="微軟正黑體"/>
        </w:rPr>
        <w:t>、</w:t>
      </w:r>
      <w:r>
        <w:rPr>
          <w:rFonts w:eastAsia="微軟正黑體" w:ascii="微軟正黑體" w:hAnsi="微軟正黑體"/>
        </w:rPr>
        <w:t>Micro Bump</w:t>
      </w:r>
      <w:r>
        <w:rPr>
          <w:rFonts w:ascii="微軟正黑體" w:hAnsi="微軟正黑體" w:cs="MS UI Gothic" w:eastAsia="微軟正黑體"/>
        </w:rPr>
        <w:t>、</w:t>
      </w:r>
      <w:r>
        <w:rPr>
          <w:rFonts w:eastAsia="微軟正黑體" w:ascii="微軟正黑體" w:hAnsi="微軟正黑體"/>
        </w:rPr>
        <w:t>Void</w:t>
      </w:r>
      <w:r>
        <w:rPr>
          <w:rFonts w:ascii="微軟正黑體" w:hAnsi="微軟正黑體" w:cs="MS UI Gothic" w:eastAsia="微軟正黑體"/>
        </w:rPr>
        <w:t>、</w:t>
      </w:r>
      <w:r>
        <w:rPr>
          <w:rFonts w:eastAsia="微軟正黑體" w:ascii="微軟正黑體" w:hAnsi="微軟正黑體"/>
        </w:rPr>
        <w:t xml:space="preserve">Chiplet </w:t>
      </w:r>
      <w:r>
        <w:rPr>
          <w:rFonts w:ascii="微軟正黑體" w:hAnsi="微軟正黑體" w:cs="MS UI Gothic" w:eastAsia="微軟正黑體"/>
        </w:rPr>
        <w:t>等先進封裝檢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需求，介紹運用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AXI</w:t>
      </w:r>
      <w:r>
        <w:rPr>
          <w:rFonts w:ascii="微軟正黑體" w:hAnsi="微軟正黑體" w:cs="MS UI Gothic" w:eastAsia="微軟正黑體"/>
        </w:rPr>
        <w:t>／</w:t>
      </w:r>
      <w:r>
        <w:rPr>
          <w:rFonts w:eastAsia="微軟正黑體" w:ascii="微軟正黑體" w:hAnsi="微軟正黑體"/>
        </w:rPr>
        <w:t xml:space="preserve">CT </w:t>
      </w:r>
      <w:r>
        <w:rPr>
          <w:rFonts w:ascii="微軟正黑體" w:hAnsi="微軟正黑體" w:cs="MS UI Gothic" w:eastAsia="微軟正黑體"/>
        </w:rPr>
        <w:t>型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X-ray </w:t>
      </w:r>
      <w:r>
        <w:rPr>
          <w:rFonts w:ascii="微軟正黑體" w:hAnsi="微軟正黑體" w:cs="MS UI Gothic" w:eastAsia="微軟正黑體"/>
        </w:rPr>
        <w:t>技術，從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R&amp;D </w:t>
      </w:r>
      <w:r>
        <w:rPr>
          <w:rFonts w:ascii="微軟正黑體" w:hAnsi="微軟正黑體" w:cs="MS UI Gothic" w:eastAsia="微軟正黑體"/>
        </w:rPr>
        <w:t>階段的詳細解析到量</w:t>
      </w:r>
      <w:r>
        <w:rPr>
          <w:rFonts w:ascii="微軟正黑體" w:hAnsi="微軟正黑體" w:cs="PMingLiU" w:eastAsia="微軟正黑體"/>
        </w:rPr>
        <w:t>產</w:t>
      </w:r>
      <w:r>
        <w:rPr>
          <w:rFonts w:ascii="微軟正黑體" w:hAnsi="微軟正黑體" w:cs="MS UI Gothic" w:eastAsia="微軟正黑體"/>
        </w:rPr>
        <w:t>階段的穩定判定，實現</w:t>
      </w:r>
      <w:r>
        <w:rPr>
          <w:rFonts w:ascii="微軟正黑體" w:hAnsi="微軟正黑體" w:cs="PMingLiU" w:eastAsia="微軟正黑體"/>
        </w:rPr>
        <w:t>內</w:t>
      </w:r>
      <w:r>
        <w:rPr>
          <w:rFonts w:ascii="微軟正黑體" w:hAnsi="微軟正黑體" w:cs="MS UI Gothic" w:eastAsia="微軟正黑體"/>
        </w:rPr>
        <w:t>部結構可視化、定量檢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與品質風險的早期掌握，支援持續性的工程改善。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  <w:br/>
      </w:r>
      <w:r>
        <w:rPr>
          <w:rFonts w:eastAsia="微軟正黑體" w:ascii="微軟正黑體" w:hAnsi="微軟正黑體"/>
          <w:b/>
          <w:bCs/>
        </w:rPr>
        <w:t xml:space="preserve">■ Digital Twin × Quality Data </w:t>
      </w:r>
      <w:r>
        <w:rPr>
          <w:rFonts w:ascii="微軟正黑體" w:hAnsi="微軟正黑體" w:cs="MS UI Gothic" w:eastAsia="微軟正黑體"/>
          <w:b/>
          <w:bCs/>
        </w:rPr>
        <w:t>活用</w:t>
      </w:r>
      <w:r>
        <w:rPr>
          <w:rFonts w:eastAsia="微軟正黑體" w:ascii="微軟正黑體" w:hAnsi="微軟正黑體"/>
          <w:b/>
          <w:bCs/>
        </w:rPr>
        <w:br/>
      </w:r>
      <w:r>
        <w:rPr>
          <w:rFonts w:ascii="微軟正黑體" w:hAnsi="微軟正黑體" w:cs="MS UI Gothic" w:eastAsia="微軟正黑體"/>
        </w:rPr>
        <w:t>透過與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NVIDIA Omniverse </w:t>
      </w:r>
      <w:r>
        <w:rPr>
          <w:rFonts w:ascii="微軟正黑體" w:hAnsi="微軟正黑體" w:cs="MS UI Gothic" w:eastAsia="微軟正黑體"/>
        </w:rPr>
        <w:t>的協作，實現活用「品質數據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(Quality Data)</w:t>
      </w:r>
      <w:r>
        <w:rPr>
          <w:rFonts w:ascii="微軟正黑體" w:hAnsi="微軟正黑體" w:cs="MS UI Gothic" w:eastAsia="微軟正黑體"/>
        </w:rPr>
        <w:t>」的數位孿生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(Digital Twin)</w:t>
      </w:r>
      <w:r>
        <w:rPr>
          <w:rFonts w:ascii="微軟正黑體" w:hAnsi="微軟正黑體" w:cs="MS UI Gothic" w:eastAsia="微軟正黑體"/>
        </w:rPr>
        <w:t>。藉由整合外觀檢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與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X-ray </w:t>
      </w:r>
      <w:r>
        <w:rPr>
          <w:rFonts w:ascii="微軟正黑體" w:hAnsi="微軟正黑體" w:cs="MS UI Gothic" w:eastAsia="微軟正黑體"/>
        </w:rPr>
        <w:t>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的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3D </w:t>
      </w:r>
      <w:r>
        <w:rPr>
          <w:rFonts w:ascii="微軟正黑體" w:hAnsi="微軟正黑體" w:cs="MS UI Gothic" w:eastAsia="微軟正黑體"/>
        </w:rPr>
        <w:t>可視化，高精度重現基板翹曲與接合狀態。此外，透過品質狀態的模擬與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AI </w:t>
      </w:r>
      <w:r>
        <w:rPr>
          <w:rFonts w:ascii="微軟正黑體" w:hAnsi="微軟正黑體" w:cs="MS UI Gothic" w:eastAsia="微軟正黑體"/>
        </w:rPr>
        <w:t>活用，實現從檢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到工程改善相互銜接的新型品質管理。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  <w:br/>
      </w:r>
      <w:r>
        <w:rPr>
          <w:rFonts w:eastAsia="微軟正黑體" w:ascii="微軟正黑體" w:hAnsi="微軟正黑體"/>
          <w:b/>
          <w:bCs/>
        </w:rPr>
        <w:t xml:space="preserve">■ </w:t>
      </w:r>
      <w:r>
        <w:rPr>
          <w:rFonts w:ascii="微軟正黑體" w:hAnsi="微軟正黑體" w:cs="MS UI Gothic" w:eastAsia="微軟正黑體"/>
          <w:b/>
          <w:bCs/>
        </w:rPr>
        <w:t>搬送、外觀檢</w:t>
      </w:r>
      <w:r>
        <w:rPr>
          <w:rFonts w:ascii="微軟正黑體" w:hAnsi="微軟正黑體" w:cs="PMingLiU" w:eastAsia="微軟正黑體"/>
          <w:b/>
          <w:bCs/>
        </w:rPr>
        <w:t>查</w:t>
      </w:r>
      <w:r>
        <w:rPr>
          <w:rFonts w:ascii="微軟正黑體" w:hAnsi="微軟正黑體" w:cs="MS UI Gothic" w:eastAsia="微軟正黑體"/>
          <w:b/>
          <w:bCs/>
        </w:rPr>
        <w:t>與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 xml:space="preserve">IAB </w:t>
      </w:r>
      <w:r>
        <w:rPr>
          <w:rFonts w:ascii="微軟正黑體" w:hAnsi="微軟正黑體" w:cs="MS UI Gothic" w:eastAsia="微軟正黑體"/>
          <w:b/>
          <w:bCs/>
        </w:rPr>
        <w:t>控制技術</w:t>
      </w:r>
      <w:r>
        <w:rPr>
          <w:rFonts w:eastAsia="微軟正黑體" w:ascii="微軟正黑體" w:hAnsi="微軟正黑體"/>
          <w:b/>
          <w:bCs/>
        </w:rPr>
        <w:br/>
      </w:r>
      <w:r>
        <w:rPr>
          <w:rFonts w:ascii="微軟正黑體" w:hAnsi="微軟正黑體" w:cs="MS UI Gothic" w:eastAsia="微軟正黑體"/>
        </w:rPr>
        <w:t>展示歐姆龍半導體育成中心的半導體製造現場相關的</w:t>
      </w:r>
      <w:r>
        <w:rPr>
          <w:rFonts w:eastAsia="微軟正黑體" w:ascii="微軟正黑體" w:hAnsi="微軟正黑體"/>
        </w:rPr>
        <w:t xml:space="preserve">wafer </w:t>
      </w:r>
      <w:r>
        <w:rPr>
          <w:rFonts w:ascii="微軟正黑體" w:hAnsi="微軟正黑體" w:cs="MS UI Gothic" w:eastAsia="微軟正黑體"/>
        </w:rPr>
        <w:t>搬送技術、</w:t>
      </w:r>
      <w:r>
        <w:rPr>
          <w:rFonts w:eastAsia="微軟正黑體" w:ascii="微軟正黑體" w:hAnsi="微軟正黑體"/>
        </w:rPr>
        <w:t>Components</w:t>
      </w:r>
      <w:r>
        <w:rPr>
          <w:rFonts w:ascii="微軟正黑體" w:hAnsi="微軟正黑體" w:cs="MS UI Gothic" w:eastAsia="微軟正黑體"/>
        </w:rPr>
        <w:t>商品與相關解決方案、</w:t>
      </w:r>
      <w:r>
        <w:rPr>
          <w:rFonts w:eastAsia="微軟正黑體" w:ascii="微軟正黑體" w:hAnsi="微軟正黑體"/>
        </w:rPr>
        <w:t>Safety</w:t>
      </w:r>
      <w:r>
        <w:rPr>
          <w:rFonts w:ascii="微軟正黑體" w:hAnsi="微軟正黑體" w:cs="MS UI Gothic" w:eastAsia="微軟正黑體"/>
        </w:rPr>
        <w:t>／</w:t>
      </w:r>
      <w:r>
        <w:rPr>
          <w:rFonts w:eastAsia="微軟正黑體" w:ascii="微軟正黑體" w:hAnsi="微軟正黑體"/>
        </w:rPr>
        <w:t xml:space="preserve">Sensor </w:t>
      </w:r>
      <w:r>
        <w:rPr>
          <w:rFonts w:ascii="微軟正黑體" w:hAnsi="微軟正黑體" w:cs="MS UI Gothic" w:eastAsia="微軟正黑體"/>
        </w:rPr>
        <w:t>等技術。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</w:r>
    </w:p>
    <w:p>
      <w:pPr>
        <w:pStyle w:val="Heading3"/>
        <w:keepNext w:val="false"/>
        <w:spacing w:before="0" w:after="0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 w:val="false"/>
          <w:sz w:val="26"/>
          <w:szCs w:val="26"/>
        </w:rPr>
        <w:t>同期技術演講</w:t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  <w:b/>
          <w:bCs/>
          <w:sz w:val="24"/>
          <w:szCs w:val="24"/>
        </w:rPr>
        <w:t>■</w:t>
      </w:r>
      <w:r>
        <w:rPr>
          <w:rFonts w:ascii="微軟正黑體" w:hAnsi="微軟正黑體" w:eastAsia="微軟正黑體"/>
          <w:b/>
          <w:bCs/>
          <w:sz w:val="14"/>
          <w:szCs w:val="14"/>
        </w:rPr>
        <w:t xml:space="preserve"> </w:t>
      </w:r>
      <w:r>
        <w:rPr>
          <w:rFonts w:ascii="微軟正黑體" w:hAnsi="微軟正黑體" w:cs="MS UI Gothic" w:eastAsia="微軟正黑體"/>
          <w:b/>
          <w:bCs/>
        </w:rPr>
        <w:t>主題演講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>Strategics Materials Conference</w:t>
        <w:br/>
      </w:r>
      <w:r>
        <w:rPr>
          <w:rFonts w:ascii="微軟正黑體" w:hAnsi="微軟正黑體" w:cs="MS UI Gothic" w:eastAsia="微軟正黑體"/>
          <w:b/>
          <w:bCs/>
        </w:rPr>
        <w:t>時間：</w:t>
      </w:r>
      <w:r>
        <w:rPr>
          <w:rFonts w:eastAsia="微軟正黑體" w:ascii="微軟正黑體" w:hAnsi="微軟正黑體"/>
        </w:rPr>
        <w:t xml:space="preserve">9 </w:t>
      </w:r>
      <w:r>
        <w:rPr>
          <w:rFonts w:ascii="微軟正黑體" w:hAnsi="微軟正黑體" w:cs="MS UI Gothic" w:eastAsia="微軟正黑體"/>
        </w:rPr>
        <w:t>月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3 </w:t>
      </w:r>
      <w:r>
        <w:rPr>
          <w:rFonts w:ascii="微軟正黑體" w:hAnsi="微軟正黑體" w:cs="MS UI Gothic" w:eastAsia="微軟正黑體"/>
        </w:rPr>
        <w:t>日（四）</w:t>
      </w:r>
      <w:r>
        <w:rPr>
          <w:rFonts w:eastAsia="微軟正黑體" w:ascii="微軟正黑體" w:hAnsi="微軟正黑體"/>
        </w:rPr>
        <w:br/>
      </w:r>
      <w:r>
        <w:rPr>
          <w:rFonts w:ascii="微軟正黑體" w:hAnsi="微軟正黑體" w:cs="MS UI Gothic" w:eastAsia="微軟正黑體"/>
          <w:b/>
          <w:bCs/>
        </w:rPr>
        <w:t>地點：</w:t>
      </w:r>
      <w:r>
        <w:rPr>
          <w:rFonts w:eastAsia="微軟正黑體" w:ascii="微軟正黑體" w:hAnsi="微軟正黑體"/>
        </w:rPr>
        <w:t>TaiNEX Hall 2</w:t>
      </w:r>
      <w:r>
        <w:rPr>
          <w:rFonts w:ascii="微軟正黑體" w:hAnsi="微軟正黑體" w:cs="MS UI Gothic" w:eastAsia="微軟正黑體"/>
        </w:rPr>
        <w:t>（台北南港展覽館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2 </w:t>
      </w:r>
      <w:r>
        <w:rPr>
          <w:rFonts w:ascii="微軟正黑體" w:hAnsi="微軟正黑體" w:cs="MS UI Gothic" w:eastAsia="微軟正黑體"/>
        </w:rPr>
        <w:t>館）</w:t>
      </w:r>
      <w:r>
        <w:rPr>
          <w:rFonts w:eastAsia="微軟正黑體" w:ascii="微軟正黑體" w:hAnsi="微軟正黑體"/>
        </w:rPr>
        <w:br/>
      </w:r>
      <w:r>
        <w:rPr>
          <w:rFonts w:ascii="微軟正黑體" w:hAnsi="微軟正黑體" w:cs="MS UI Gothic" w:eastAsia="微軟正黑體"/>
          <w:b/>
          <w:bCs/>
        </w:rPr>
        <w:t>主題：</w:t>
      </w:r>
      <w:r>
        <w:rPr>
          <w:rFonts w:ascii="微軟正黑體" w:hAnsi="微軟正黑體" w:cs="MS UI Gothic" w:eastAsia="微軟正黑體"/>
        </w:rPr>
        <w:t>含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TGV </w:t>
      </w:r>
      <w:r>
        <w:rPr>
          <w:rFonts w:ascii="微軟正黑體" w:hAnsi="微軟正黑體" w:cs="MS UI Gothic" w:eastAsia="微軟正黑體"/>
        </w:rPr>
        <w:t>之先進封裝自動檢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技術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MS UI Gothic" w:eastAsia="微軟正黑體"/>
        </w:rPr>
        <w:t>～實現從開發階段到量</w:t>
      </w:r>
      <w:r>
        <w:rPr>
          <w:rFonts w:ascii="微軟正黑體" w:hAnsi="微軟正黑體" w:cs="PMingLiU" w:eastAsia="微軟正黑體"/>
        </w:rPr>
        <w:t>產</w:t>
      </w:r>
      <w:r>
        <w:rPr>
          <w:rFonts w:ascii="微軟正黑體" w:hAnsi="微軟正黑體" w:cs="MS UI Gothic" w:eastAsia="微軟正黑體"/>
        </w:rPr>
        <w:t>工程一致性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Pass/Fail </w:t>
      </w:r>
      <w:r>
        <w:rPr>
          <w:rFonts w:ascii="微軟正黑體" w:hAnsi="微軟正黑體" w:cs="MS UI Gothic" w:eastAsia="微軟正黑體"/>
        </w:rPr>
        <w:t>判定的新方法～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  <w:br/>
      </w:r>
      <w:r>
        <w:rPr>
          <w:rFonts w:eastAsia="微軟正黑體" w:ascii="微軟正黑體" w:hAnsi="微軟正黑體"/>
          <w:b/>
          <w:bCs/>
        </w:rPr>
        <w:t xml:space="preserve">■ </w:t>
      </w:r>
      <w:r>
        <w:rPr>
          <w:rFonts w:ascii="微軟正黑體" w:hAnsi="微軟正黑體" w:cs="MS UI Gothic" w:eastAsia="微軟正黑體"/>
          <w:b/>
          <w:bCs/>
        </w:rPr>
        <w:t>會場講座</w:t>
      </w:r>
      <w:r>
        <w:rPr>
          <w:rFonts w:ascii="微軟正黑體" w:hAnsi="微軟正黑體" w:eastAsia="微軟正黑體"/>
          <w:b/>
          <w:bCs/>
        </w:rPr>
        <w:t xml:space="preserve"> </w:t>
      </w:r>
      <w:r>
        <w:rPr>
          <w:rFonts w:eastAsia="微軟正黑體" w:ascii="微軟正黑體" w:hAnsi="微軟正黑體"/>
          <w:b/>
          <w:bCs/>
        </w:rPr>
        <w:t>TechXPOT</w:t>
        <w:br/>
      </w:r>
      <w:r>
        <w:rPr>
          <w:rFonts w:ascii="微軟正黑體" w:hAnsi="微軟正黑體" w:cs="MS UI Gothic" w:eastAsia="微軟正黑體"/>
          <w:b/>
          <w:bCs/>
        </w:rPr>
        <w:t>時間：</w:t>
      </w:r>
      <w:r>
        <w:rPr>
          <w:rFonts w:eastAsia="微軟正黑體" w:ascii="微軟正黑體" w:hAnsi="微軟正黑體"/>
        </w:rPr>
        <w:t xml:space="preserve">9 </w:t>
      </w:r>
      <w:r>
        <w:rPr>
          <w:rFonts w:ascii="微軟正黑體" w:hAnsi="微軟正黑體" w:cs="MS UI Gothic" w:eastAsia="微軟正黑體"/>
        </w:rPr>
        <w:t>月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3 </w:t>
      </w:r>
      <w:r>
        <w:rPr>
          <w:rFonts w:ascii="微軟正黑體" w:hAnsi="微軟正黑體" w:cs="MS UI Gothic" w:eastAsia="微軟正黑體"/>
        </w:rPr>
        <w:t>日（四）</w:t>
      </w:r>
      <w:r>
        <w:rPr>
          <w:rFonts w:eastAsia="微軟正黑體" w:ascii="微軟正黑體" w:hAnsi="微軟正黑體"/>
        </w:rPr>
        <w:t>13:20–13:40</w:t>
        <w:br/>
      </w:r>
      <w:r>
        <w:rPr>
          <w:rFonts w:ascii="微軟正黑體" w:hAnsi="微軟正黑體" w:cs="MS UI Gothic" w:eastAsia="微軟正黑體"/>
          <w:b/>
          <w:bCs/>
        </w:rPr>
        <w:t>地點：</w:t>
      </w:r>
      <w:r>
        <w:rPr>
          <w:rFonts w:eastAsia="微軟正黑體" w:ascii="微軟正黑體" w:hAnsi="微軟正黑體"/>
        </w:rPr>
        <w:t>TaiNEX Hall 2</w:t>
      </w:r>
      <w:r>
        <w:rPr>
          <w:rFonts w:ascii="微軟正黑體" w:hAnsi="微軟正黑體" w:cs="MS UI Gothic" w:eastAsia="微軟正黑體"/>
        </w:rPr>
        <w:t>（攤位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>Q6252</w:t>
      </w:r>
      <w:r>
        <w:rPr>
          <w:rFonts w:ascii="微軟正黑體" w:hAnsi="微軟正黑體" w:cs="MS UI Gothic" w:eastAsia="微軟正黑體"/>
        </w:rPr>
        <w:t>）</w:t>
      </w:r>
      <w:r>
        <w:rPr>
          <w:rFonts w:eastAsia="微軟正黑體" w:ascii="微軟正黑體" w:hAnsi="微軟正黑體"/>
        </w:rPr>
        <w:br/>
      </w:r>
      <w:r>
        <w:rPr>
          <w:rFonts w:ascii="微軟正黑體" w:hAnsi="微軟正黑體" w:cs="MS UI Gothic" w:eastAsia="微軟正黑體"/>
          <w:b/>
          <w:bCs/>
        </w:rPr>
        <w:t>主題：</w:t>
      </w:r>
      <w:r>
        <w:rPr>
          <w:rFonts w:ascii="微軟正黑體" w:hAnsi="微軟正黑體" w:cs="MS UI Gothic" w:eastAsia="微軟正黑體"/>
        </w:rPr>
        <w:t>因看得見而理解，因數</w:t>
      </w:r>
      <w:r>
        <w:rPr>
          <w:rFonts w:ascii="微軟正黑體" w:hAnsi="微軟正黑體" w:cs="PMingLiU" w:eastAsia="微軟正黑體"/>
        </w:rPr>
        <w:t>值</w:t>
      </w:r>
      <w:r>
        <w:rPr>
          <w:rFonts w:ascii="微軟正黑體" w:hAnsi="微軟正黑體" w:cs="MS UI Gothic" w:eastAsia="微軟正黑體"/>
        </w:rPr>
        <w:t>化而能改善。～半導體後段製程中</w:t>
      </w:r>
      <w:r>
        <w:rPr>
          <w:rFonts w:eastAsia="微軟正黑體" w:ascii="微軟正黑體" w:hAnsi="微軟正黑體"/>
        </w:rPr>
        <w:t>3D CT X</w:t>
      </w:r>
      <w:r>
        <w:rPr>
          <w:rFonts w:ascii="微軟正黑體" w:hAnsi="微軟正黑體" w:cs="MS UI Gothic" w:eastAsia="微軟正黑體"/>
        </w:rPr>
        <w:t>光製程</w:t>
      </w:r>
      <w:r>
        <w:rPr>
          <w:rFonts w:ascii="微軟正黑體" w:hAnsi="微軟正黑體" w:cs="PMingLiU" w:eastAsia="微軟正黑體"/>
        </w:rPr>
        <w:t>內</w:t>
      </w:r>
      <w:r>
        <w:rPr>
          <w:rFonts w:ascii="微軟正黑體" w:hAnsi="微軟正黑體" w:cs="MS UI Gothic" w:eastAsia="微軟正黑體"/>
        </w:rPr>
        <w:t>檢測的全新角色～</w:t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造訪活動專頁，預約 </w:t>
      </w:r>
      <w:r>
        <w:rPr>
          <w:rFonts w:eastAsia="微軟正黑體" w:ascii="微軟正黑體" w:hAnsi="微軟正黑體"/>
        </w:rPr>
        <w:t xml:space="preserve">OMRON </w:t>
      </w:r>
      <w:r>
        <w:rPr>
          <w:rFonts w:ascii="微軟正黑體" w:hAnsi="微軟正黑體" w:eastAsia="微軟正黑體"/>
        </w:rPr>
        <w:t>攤位導覽，並了解專家講座的相關資訊：</w:t>
      </w:r>
      <w:r>
        <w:rPr>
          <w:rFonts w:eastAsia="微軟正黑體" w:ascii="微軟正黑體" w:hAnsi="微軟正黑體"/>
        </w:rPr>
        <w:br/>
      </w:r>
      <w:hyperlink r:id="rId2" w:tgtFrame="_blank">
        <w:r>
          <w:rPr>
            <w:rStyle w:val="Hyperlink"/>
            <w:rFonts w:eastAsia="微軟正黑體" w:ascii="微軟正黑體" w:hAnsi="微軟正黑體"/>
          </w:rPr>
          <w:t>https://fast.globalpr.agency/omron-at-semicon-taiwan-2026-tw</w:t>
        </w:r>
      </w:hyperlink>
      <w:r>
        <w:rPr>
          <w:rFonts w:eastAsia="微軟正黑體" w:ascii="微軟正黑體" w:hAnsi="微軟正黑體"/>
        </w:rPr>
        <w:t xml:space="preserve"> </w:t>
      </w:r>
    </w:p>
    <w:p>
      <w:pPr>
        <w:pStyle w:val="Heading3"/>
        <w:keepNext w:val="false"/>
        <w:spacing w:before="0" w:after="0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 w:val="false"/>
          <w:sz w:val="26"/>
          <w:szCs w:val="26"/>
        </w:rPr>
        <w:t>聯絡窗口</w:t>
      </w:r>
    </w:p>
    <w:p>
      <w:pPr>
        <w:pStyle w:val="Normal"/>
        <w:rPr/>
      </w:pPr>
      <w:r>
        <w:rPr>
          <w:rFonts w:ascii="微軟正黑體" w:hAnsi="微軟正黑體" w:cs="MS UI Gothic" w:eastAsia="微軟正黑體"/>
          <w:b/>
          <w:bCs/>
        </w:rPr>
        <w:t>聯絡窗口：</w:t>
      </w:r>
      <w:r>
        <w:rPr>
          <w:rFonts w:ascii="微軟正黑體" w:hAnsi="微軟正黑體" w:cs="MS UI Gothic" w:eastAsia="微軟正黑體"/>
        </w:rPr>
        <w:t>歐姆龍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MS UI Gothic" w:eastAsia="微軟正黑體"/>
        </w:rPr>
        <w:t>工業自動化公司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MS UI Gothic" w:eastAsia="微軟正黑體"/>
        </w:rPr>
        <w:t>自動檢</w:t>
      </w:r>
      <w:r>
        <w:rPr>
          <w:rFonts w:ascii="微軟正黑體" w:hAnsi="微軟正黑體" w:cs="PMingLiU" w:eastAsia="微軟正黑體"/>
        </w:rPr>
        <w:t>查</w:t>
      </w:r>
      <w:r>
        <w:rPr>
          <w:rFonts w:ascii="微軟正黑體" w:hAnsi="微軟正黑體" w:cs="MS UI Gothic" w:eastAsia="微軟正黑體"/>
        </w:rPr>
        <w:t>事業部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MS UI Gothic" w:eastAsia="微軟正黑體"/>
        </w:rPr>
        <w:t>國際溝通課</w:t>
      </w:r>
      <w:r>
        <w:rPr>
          <w:rFonts w:eastAsia="微軟正黑體" w:ascii="微軟正黑體" w:hAnsi="微軟正黑體"/>
        </w:rPr>
        <w:br/>
      </w:r>
      <w:r>
        <w:rPr>
          <w:rFonts w:ascii="微軟正黑體" w:hAnsi="微軟正黑體" w:cs="MS UI Gothic" w:eastAsia="微軟正黑體"/>
          <w:b/>
          <w:bCs/>
        </w:rPr>
        <w:t>聯絡信箱：</w:t>
      </w:r>
      <w:hyperlink r:id="rId3" w:tgtFrame="_blank">
        <w:r>
          <w:rPr>
            <w:rStyle w:val="Style3"/>
            <w:rFonts w:eastAsia="微軟正黑體" w:ascii="微軟正黑體" w:hAnsi="微軟正黑體"/>
            <w:b w:val="false"/>
            <w:bCs w:val="false"/>
            <w:color w:val="0000EE"/>
            <w:u w:val="single" w:color="0000EE"/>
          </w:rPr>
          <w:t>naiyuan.yeh@omron.com</w:t>
        </w:r>
      </w:hyperlink>
      <w:r>
        <w:rPr>
          <w:rFonts w:eastAsia="微軟正黑體" w:ascii="微軟正黑體" w:hAnsi="微軟正黑體"/>
        </w:rPr>
        <w:t xml:space="preserve"> </w:t>
      </w:r>
      <w:r>
        <w:rPr>
          <w:rFonts w:ascii="微軟正黑體" w:hAnsi="微軟正黑體" w:cs="MS UI Gothic" w:eastAsia="微軟正黑體"/>
        </w:rPr>
        <w:t>葉乃元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</w:r>
    </w:p>
    <w:p>
      <w:pPr>
        <w:pStyle w:val="Heading3"/>
        <w:keepNext w:val="false"/>
        <w:spacing w:before="0" w:after="0"/>
        <w:outlineLvl w:val="9"/>
        <w:rPr>
          <w:rFonts w:ascii="微軟正黑體" w:hAnsi="微軟正黑體" w:eastAsia="微軟正黑體"/>
          <w:sz w:val="26"/>
          <w:szCs w:val="26"/>
        </w:rPr>
      </w:pPr>
      <w:r>
        <w:rPr>
          <w:rFonts w:ascii="微軟正黑體" w:hAnsi="微軟正黑體" w:cs="MS UI Gothic" w:eastAsia="微軟正黑體"/>
          <w:i w:val="false"/>
          <w:sz w:val="26"/>
          <w:szCs w:val="26"/>
        </w:rPr>
        <w:t>關於歐姆龍</w:t>
      </w:r>
    </w:p>
    <w:p>
      <w:pPr>
        <w:pStyle w:val="Normal"/>
        <w:rPr/>
      </w:pPr>
      <w:r>
        <w:rPr>
          <w:rFonts w:ascii="微軟正黑體" w:hAnsi="微軟正黑體" w:cs="MS UI Gothic" w:eastAsia="微軟正黑體"/>
        </w:rPr>
        <w:t>歐姆龍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(OMRON) </w:t>
      </w:r>
      <w:r>
        <w:rPr>
          <w:rFonts w:ascii="微軟正黑體" w:hAnsi="微軟正黑體" w:cs="MS UI Gothic" w:eastAsia="微軟正黑體"/>
        </w:rPr>
        <w:t>是全球自動化領導企業，以「感測</w:t>
      </w:r>
      <w:r>
        <w:rPr>
          <w:rFonts w:eastAsia="微軟正黑體" w:ascii="微軟正黑體" w:hAnsi="微軟正黑體"/>
        </w:rPr>
        <w:t>&amp;</w:t>
      </w:r>
      <w:r>
        <w:rPr>
          <w:rFonts w:ascii="微軟正黑體" w:hAnsi="微軟正黑體" w:cs="MS UI Gothic" w:eastAsia="微軟正黑體"/>
        </w:rPr>
        <w:t>控制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+ </w:t>
      </w:r>
      <w:r>
        <w:rPr>
          <w:rFonts w:ascii="微軟正黑體" w:hAnsi="微軟正黑體" w:cs="MS UI Gothic" w:eastAsia="微軟正黑體"/>
        </w:rPr>
        <w:t>思考」</w:t>
      </w:r>
      <w:r>
        <w:rPr>
          <w:rFonts w:eastAsia="微軟正黑體" w:ascii="微軟正黑體" w:hAnsi="微軟正黑體"/>
        </w:rPr>
        <w:t xml:space="preserve">(Sensing and Control + Think) </w:t>
      </w:r>
      <w:r>
        <w:rPr>
          <w:rFonts w:ascii="微軟正黑體" w:hAnsi="微軟正黑體" w:cs="MS UI Gothic" w:eastAsia="微軟正黑體"/>
        </w:rPr>
        <w:t>技術為核心，業務範圍涵蓋工業自動化、健康照護、社會系統、裝置與模組解決方案等領域。該公司跨越既有價</w:t>
      </w:r>
      <w:r>
        <w:rPr>
          <w:rFonts w:ascii="微軟正黑體" w:hAnsi="微軟正黑體" w:cs="PMingLiU" w:eastAsia="微軟正黑體"/>
        </w:rPr>
        <w:t>值</w:t>
      </w:r>
      <w:r>
        <w:rPr>
          <w:rFonts w:ascii="微軟正黑體" w:hAnsi="微軟正黑體" w:cs="MS UI Gothic" w:eastAsia="微軟正黑體"/>
        </w:rPr>
        <w:t>創造模式，串聯並活用將各事業所累積的多元數據，推進數據解決方案業務的發展。歐姆龍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MS UI Gothic" w:eastAsia="微軟正黑體"/>
        </w:rPr>
        <w:t>創立於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1933 </w:t>
      </w:r>
      <w:r>
        <w:rPr>
          <w:rFonts w:ascii="微軟正黑體" w:hAnsi="微軟正黑體" w:cs="MS UI Gothic" w:eastAsia="微軟正黑體"/>
        </w:rPr>
        <w:t>年，目前在全球擁有大約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27,000 </w:t>
      </w:r>
      <w:r>
        <w:rPr>
          <w:rFonts w:ascii="微軟正黑體" w:hAnsi="微軟正黑體" w:cs="MS UI Gothic" w:eastAsia="微軟正黑體"/>
        </w:rPr>
        <w:t>名員工，</w:t>
      </w:r>
      <w:r>
        <w:rPr>
          <w:rFonts w:ascii="微軟正黑體" w:hAnsi="微軟正黑體" w:cs="PMingLiU" w:eastAsia="微軟正黑體"/>
        </w:rPr>
        <w:t>產</w:t>
      </w:r>
      <w:r>
        <w:rPr>
          <w:rFonts w:ascii="微軟正黑體" w:hAnsi="微軟正黑體" w:cs="MS UI Gothic" w:eastAsia="微軟正黑體"/>
        </w:rPr>
        <w:t>品與服務遍及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t xml:space="preserve">130 </w:t>
      </w:r>
      <w:r>
        <w:rPr>
          <w:rFonts w:ascii="微軟正黑體" w:hAnsi="微軟正黑體" w:cs="MS UI Gothic" w:eastAsia="微軟正黑體"/>
        </w:rPr>
        <w:t>個國家與地區，致力於打造更美好的社會。</w:t>
      </w:r>
      <w:r>
        <w:rPr>
          <w:rFonts w:ascii="微軟正黑體" w:hAnsi="微軟正黑體" w:eastAsia="微軟正黑體"/>
        </w:rPr>
        <w:t xml:space="preserve"> </w:t>
      </w:r>
      <w:r>
        <w:rPr>
          <w:rFonts w:eastAsia="微軟正黑體" w:ascii="微軟正黑體" w:hAnsi="微軟正黑體"/>
        </w:rPr>
        <w:br/>
        <w:br/>
      </w:r>
      <w:r>
        <w:rPr>
          <w:rFonts w:ascii="微軟正黑體" w:hAnsi="微軟正黑體" w:cs="MS UI Gothic" w:eastAsia="微軟正黑體"/>
        </w:rPr>
        <w:t>更多資訊請參</w:t>
      </w:r>
      <w:r>
        <w:rPr>
          <w:rFonts w:ascii="微軟正黑體" w:hAnsi="微軟正黑體" w:cs="PMingLiU" w:eastAsia="微軟正黑體"/>
        </w:rPr>
        <w:t>閱</w:t>
      </w:r>
      <w:r>
        <w:rPr>
          <w:rFonts w:ascii="微軟正黑體" w:hAnsi="微軟正黑體" w:cs="MS UI Gothic" w:eastAsia="微軟正黑體"/>
        </w:rPr>
        <w:t>：</w:t>
      </w:r>
      <w:hyperlink r:id="rId4" w:tgtFrame="_blank">
        <w:r>
          <w:rPr>
            <w:rStyle w:val="Hyperlink"/>
            <w:rFonts w:eastAsia="微軟正黑體" w:ascii="微軟正黑體" w:hAnsi="微軟正黑體"/>
          </w:rPr>
          <w:t>www.omron.com</w:t>
        </w:r>
      </w:hyperlink>
      <w:r>
        <w:rPr>
          <w:rFonts w:eastAsia="微軟正黑體" w:ascii="微軟正黑體" w:hAnsi="微軟正黑體"/>
        </w:rPr>
        <w:t xml:space="preserve"> 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88"/>
    <w:family w:val="swiss"/>
    <w:pitch w:val="variable"/>
  </w:font>
  <w:font w:name="微軟正黑體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TC" w:cs="Lucida Sans"/>
        <w:lang w:val="en-US" w:eastAsia="zh-TW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5bc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TC" w:cs="Lucida Sans"/>
      <w:color w:val="auto"/>
      <w:kern w:val="0"/>
      <w:sz w:val="24"/>
      <w:szCs w:val="24"/>
      <w:lang w:val="en-US" w:eastAsia="zh-TW" w:bidi="hi-IN"/>
    </w:rPr>
  </w:style>
  <w:style w:type="paragraph" w:styleId="Heading1">
    <w:name w:val="heading 1"/>
    <w:basedOn w:val="Normal"/>
    <w:next w:val="Normal"/>
    <w:qFormat/>
    <w:rsid w:val="00ef7b96"/>
    <w:pPr>
      <w:keepNext w:val="true"/>
      <w:spacing w:before="240" w:after="60"/>
      <w:outlineLvl w:val="0"/>
    </w:pPr>
    <w:rPr>
      <w:rFonts w:ascii="Times New Roman" w:hAnsi="Times New Roman" w:eastAsia="Times New Roman" w:cs="Times New Roman"/>
      <w:b/>
      <w:bCs/>
      <w:i w:val="false"/>
      <w:kern w:val="2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 w:val="true"/>
      <w:spacing w:before="240" w:after="60"/>
      <w:outlineLvl w:val="1"/>
    </w:pPr>
    <w:rPr>
      <w:rFonts w:ascii="Times New Roman" w:hAnsi="Times New Roman" w:eastAsia="Times New Roman" w:cs="Times New Roman"/>
      <w:b/>
      <w:bCs/>
      <w:i w:val="false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 w:val="true"/>
      <w:spacing w:before="240" w:after="60"/>
      <w:outlineLvl w:val="2"/>
    </w:pPr>
    <w:rPr>
      <w:rFonts w:ascii="Times New Roman" w:hAnsi="Times New Roman" w:eastAsia="Times New Roman" w:cs="Times New Roman"/>
      <w:b/>
      <w:bCs/>
      <w:i w:val="false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 w:val="true"/>
      <w:spacing w:before="240" w:after="60"/>
      <w:outlineLvl w:val="3"/>
    </w:pPr>
    <w:rPr>
      <w:rFonts w:ascii="Times New Roman" w:hAnsi="Times New Roman" w:eastAsia="Times New Roman" w:cs="Times New Roman"/>
      <w:b/>
      <w:bCs/>
      <w:i w:val="false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hAnsi="Times New Roman" w:eastAsia="Times New Roman" w:cs="Times New Roman"/>
      <w:b/>
      <w:bCs/>
      <w:i w:val="false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hAnsi="Times New Roman" w:eastAsia="Times New Roman" w:cs="Times New Roman"/>
      <w:b/>
      <w:bCs/>
      <w:i w:val="false"/>
      <w:sz w:val="16"/>
      <w:szCs w:val="16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Pr>
      <w:color w:val="000080"/>
      <w:u w:val="single"/>
    </w:rPr>
  </w:style>
  <w:style w:type="character" w:styleId="Style8">
    <w:name w:val="項目符號"/>
    <w:qFormat/>
    <w:rPr>
      <w:rFonts w:ascii="OpenSymbol" w:hAnsi="OpenSymbol" w:eastAsia="OpenSymbol" w:cs="OpenSymbol"/>
    </w:rPr>
  </w:style>
  <w:style w:type="paragraph" w:styleId="Style9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思源黑體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索引"/>
    <w:basedOn w:val="Normal"/>
    <w:qFormat/>
    <w:pPr>
      <w:suppressLineNumbers/>
    </w:pPr>
    <w:rPr>
      <w:rFonts w:cs="Lucida Sans"/>
    </w:rPr>
  </w:style>
  <w:style w:type="paragraph" w:styleId="user">
    <w:name w:val="標題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思源黑體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ast.globalpr.agency/omron-at-semicon-taiwan-2026-tw" TargetMode="External"/><Relationship Id="rId3" Type="http://schemas.openxmlformats.org/officeDocument/2006/relationships/hyperlink" Target="mailto:naiyuan.yeh@omron.com" TargetMode="External"/><Relationship Id="rId4" Type="http://schemas.openxmlformats.org/officeDocument/2006/relationships/hyperlink" Target="https://www.omron.com/global/en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LibreOffice/26.2.5.2$Windows_X86_64 LibreOffice_project/cd7284b4cbbfeb507e630c1aac019f4157393acb</Application>
  <AppVersion>15.0000</AppVersion>
  <Pages>3</Pages>
  <Words>1127</Words>
  <Characters>1580</Characters>
  <CharactersWithSpaces>1776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2026-08-20T12:16:49Z</dcterms:modified>
  <cp:revision>5</cp:revision>
  <dc:subject/>
  <dc:title>歐姆龍將於 SEMICON Taiwan 2026 展示半導體製造檢查與自動化解決方案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