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keepNext w:val="false"/>
        <w:pBdr/>
        <w:spacing w:before="0" w:after="0"/>
        <w:jc w:val="center"/>
        <w:outlineLvl w:val="9"/>
        <w:rPr>
          <w:sz w:val="28"/>
          <w:szCs w:val="28"/>
        </w:rPr>
      </w:pPr>
      <w:r>
        <w:rPr>
          <w:rFonts w:eastAsia="Times New Roman" w:cs="Times New Roman"/>
          <w:i w:val="false"/>
          <w:sz w:val="28"/>
          <w:szCs w:val="28"/>
          <w:lang w:val="en-US" w:eastAsia="en-US"/>
        </w:rPr>
        <w:t>TaipeiPLAS 2026 Unveils Diverse Events</w:t>
      </w:r>
    </w:p>
    <w:p>
      <w:pPr>
        <w:pStyle w:val="Heading2"/>
        <w:keepNext w:val="false"/>
        <w:spacing w:before="299" w:after="299"/>
        <w:jc w:val="center"/>
        <w:outlineLvl w:val="9"/>
        <w:rPr>
          <w:sz w:val="26"/>
          <w:szCs w:val="26"/>
        </w:rPr>
      </w:pPr>
      <w:r>
        <w:rPr>
          <w:rFonts w:eastAsia="Times New Roman" w:cs="Times New Roman"/>
          <w:i/>
          <w:sz w:val="26"/>
          <w:szCs w:val="26"/>
          <w:lang w:val="en-US" w:eastAsia="en-US"/>
        </w:rPr>
        <w:t>Highlighting Industry Trends, Innovation, and Sustainability</w:t>
      </w:r>
    </w:p>
    <w:p>
      <w:pPr>
        <w:pStyle w:val="Normal"/>
        <w:rPr>
          <w:sz w:val="24"/>
          <w:szCs w:val="24"/>
          <w:lang w:val="en-US" w:eastAsia="en-US"/>
        </w:rPr>
      </w:pPr>
      <w:r>
        <w:rPr>
          <w:b/>
          <w:bCs/>
          <w:lang w:val="en-US" w:eastAsia="en-US"/>
        </w:rPr>
        <w:t xml:space="preserve">Taipei, Taiwan, </w:t>
      </w:r>
      <w:r>
        <w:rPr>
          <w:b/>
          <w:bCs/>
          <w:lang w:val="en-US" w:eastAsia="zh-TW"/>
        </w:rPr>
        <w:t>S</w:t>
      </w:r>
      <w:r>
        <w:rPr>
          <w:b/>
          <w:bCs/>
          <w:lang w:val="en-US" w:eastAsia="zh-TW"/>
        </w:rPr>
        <w:t>ep</w:t>
      </w:r>
      <w:r>
        <w:rPr>
          <w:b/>
          <w:bCs/>
          <w:lang w:val="en-US" w:eastAsia="en-US"/>
        </w:rPr>
        <w:t>. 1, 2026 -</w:t>
      </w:r>
      <w:r>
        <w:rPr>
          <w:lang w:val="en-US" w:eastAsia="en-US"/>
        </w:rPr>
        <w:t xml:space="preserve"> TaipeiPLAS 2026 will take place September 15 ~ 19 at Taipei Nangang Exhibition Center, Hall 1. Under the slogan "Form to Future," the show centers on Smart Manufacturing, Innovative Materials, and Sustainability &amp; Circular Economy, through diverse programs including the TaipeiPLAS Forum, TaipeiPLAS Award, Plastic Market Insights, and a special sustainability pavilion. </w:t>
        <w:br/>
      </w:r>
    </w:p>
    <w:p>
      <w:pPr>
        <w:pStyle w:val="Heading3"/>
        <w:keepNext w:val="false"/>
        <w:pBdr/>
        <w:spacing w:before="0" w:after="0"/>
        <w:outlineLvl w:val="9"/>
        <w:rPr>
          <w:sz w:val="26"/>
          <w:szCs w:val="26"/>
        </w:rPr>
      </w:pPr>
      <w:r>
        <w:rPr>
          <w:rFonts w:eastAsia="Times New Roman" w:cs="Times New Roman"/>
          <w:i w:val="false"/>
          <w:sz w:val="26"/>
          <w:szCs w:val="26"/>
          <w:lang w:val="en-US" w:eastAsia="en-US"/>
        </w:rPr>
        <w:t>Exploring Emerging Markets: Opportunities in Central and Eastern Europe, North Africa, and Southeast Asia</w:t>
      </w:r>
    </w:p>
    <w:p>
      <w:pPr>
        <w:pStyle w:val="Normal"/>
        <w:rPr>
          <w:sz w:val="24"/>
          <w:szCs w:val="24"/>
          <w:lang w:val="en-US" w:eastAsia="en-US"/>
        </w:rPr>
      </w:pPr>
      <w:r>
        <w:rPr>
          <w:lang w:val="en-US" w:eastAsia="en-US"/>
        </w:rPr>
        <w:t xml:space="preserve">The "Plastic Market Insights" will provide first-hand insights into the plastics and rubber markets of Central and Eastern Europe, North Africa, and Southeast Asia, covering regional industry developments, market trends, and emerging business opportunities. </w:t>
        <w:br/>
      </w:r>
    </w:p>
    <w:p>
      <w:pPr>
        <w:pStyle w:val="Heading3"/>
        <w:keepNext w:val="false"/>
        <w:pBdr/>
        <w:spacing w:before="0" w:after="0"/>
        <w:outlineLvl w:val="9"/>
        <w:rPr>
          <w:sz w:val="26"/>
          <w:szCs w:val="26"/>
        </w:rPr>
      </w:pPr>
      <w:r>
        <w:rPr>
          <w:rFonts w:eastAsia="Times New Roman" w:cs="Times New Roman"/>
          <w:i w:val="false"/>
          <w:sz w:val="26"/>
          <w:szCs w:val="26"/>
          <w:lang w:val="en-US" w:eastAsia="en-US"/>
        </w:rPr>
        <w:t>Material Innovation in Focus: Forum Explores Key Drivers of Industry Transformation</w:t>
      </w:r>
    </w:p>
    <w:p>
      <w:pPr>
        <w:pStyle w:val="Normal"/>
        <w:rPr>
          <w:sz w:val="24"/>
          <w:szCs w:val="24"/>
          <w:lang w:val="en-US" w:eastAsia="en-US"/>
        </w:rPr>
      </w:pPr>
      <w:r>
        <w:rPr>
          <w:lang w:val="en-US" w:eastAsia="en-US"/>
        </w:rPr>
        <w:t xml:space="preserve">The featured TaipeiPLAS Forum session, "Circular Materials: Technological Breakthroughs &amp; Value Transformation" will be addressing geopolitical uncertainties, raw material price volatility, and supply chain challenges. The session will explore mechanical and chemical recycling, energy-efficient smart equipment, and functional additives, examining how circular materials can reduce resource dependence and strengthen supply chain resilience. BASF, ARBURG, Nittobo, and Milliken will share their latest technologies and industry insights. The session is free to attend. Agenda and registration: </w:t>
      </w:r>
      <w:hyperlink r:id="rId2" w:tgtFrame="_blank">
        <w:r>
          <w:rPr>
            <w:rStyle w:val="Style3"/>
            <w:color w:val="0000EE"/>
            <w:u w:val="single" w:color="0000EE"/>
            <w:lang w:val="en-US" w:eastAsia="en-US"/>
          </w:rPr>
          <w:t>https://reurl.cc/1l3KoV</w:t>
        </w:r>
      </w:hyperlink>
      <w:r>
        <w:rPr>
          <w:lang w:val="en-US" w:eastAsia="en-US"/>
        </w:rPr>
        <w:t xml:space="preserve"> </w:t>
        <w:br/>
      </w:r>
    </w:p>
    <w:p>
      <w:pPr>
        <w:pStyle w:val="Heading3"/>
        <w:keepNext w:val="false"/>
        <w:pBdr/>
        <w:spacing w:before="0" w:after="0"/>
        <w:outlineLvl w:val="9"/>
        <w:rPr>
          <w:sz w:val="26"/>
          <w:szCs w:val="26"/>
        </w:rPr>
      </w:pPr>
      <w:r>
        <w:rPr>
          <w:rFonts w:eastAsia="Times New Roman" w:cs="Times New Roman"/>
          <w:i w:val="false"/>
          <w:sz w:val="26"/>
          <w:szCs w:val="26"/>
          <w:lang w:val="en-US" w:eastAsia="en-US"/>
        </w:rPr>
        <w:t>TaipeiPLAS Award Showcases Taiwan's Plastics and Rubber Industry Innovation</w:t>
      </w:r>
    </w:p>
    <w:p>
      <w:pPr>
        <w:pStyle w:val="Normal"/>
        <w:rPr>
          <w:sz w:val="24"/>
          <w:szCs w:val="24"/>
          <w:lang w:val="en-US" w:eastAsia="en-US"/>
        </w:rPr>
      </w:pPr>
      <w:r>
        <w:rPr>
          <w:lang w:val="en-US" w:eastAsia="en-US"/>
        </w:rPr>
        <w:t xml:space="preserve">The TaipeiPLAS Award 2026 recognizes innovation in Taiwan's plastics and rubber industry. The award encourages manufacturers to apply innovative design and advanced manufacturing technologies, create greater product value, and showcase outstanding products and machinery to international buyers. This year, 21 entries from 17 companies have been shortlisted for the final selection, which will take place on September 16, followed by the award ceremony that evening. </w:t>
        <w:br/>
      </w:r>
    </w:p>
    <w:p>
      <w:pPr>
        <w:pStyle w:val="Heading3"/>
        <w:keepNext w:val="false"/>
        <w:pBdr/>
        <w:spacing w:before="0" w:after="0"/>
        <w:outlineLvl w:val="9"/>
        <w:rPr>
          <w:sz w:val="26"/>
          <w:szCs w:val="26"/>
        </w:rPr>
      </w:pPr>
      <w:r>
        <w:rPr>
          <w:rFonts w:eastAsia="Times New Roman" w:cs="Times New Roman"/>
          <w:i w:val="false"/>
          <w:sz w:val="26"/>
          <w:szCs w:val="26"/>
          <w:lang w:val="en-US" w:eastAsia="en-US"/>
        </w:rPr>
        <w:t>From Showcase to Action: Bringing Circular Sustainability to the Show Floor</w:t>
      </w:r>
    </w:p>
    <w:p>
      <w:pPr>
        <w:pStyle w:val="Normal"/>
        <w:rPr>
          <w:sz w:val="24"/>
          <w:szCs w:val="24"/>
          <w:lang w:val="en-US" w:eastAsia="en-US"/>
        </w:rPr>
      </w:pPr>
      <w:r>
        <w:rPr>
          <w:lang w:val="en-US" w:eastAsia="en-US"/>
        </w:rPr>
        <w:t xml:space="preserve">Reflecting global trends toward plastics reduction, waste reduction, and resource circulation, the Care About Tomorrow Pavilion presents circular sustainability through four themes—"See," "Transform," "Coexist," and "Choose." Reusable wooden pallets will be used for displays, while "Gugu Coins," made from marine waste collected in Xiaoliuqiu, will serve as voting tokens and return to the island for continued use after the show. </w:t>
        <w:br/>
        <w:br/>
        <w:t xml:space="preserve">In support of Taiwan's efforts to reduce single-use beverage cups and promote reuse, TaipeiPLAS 2026 is also partnering with Living Fountain and uCup to provide a reusable cup rental service throughout the exhibition, encouraging exhibitors and visitors to reduce disposable waste. </w:t>
        <w:br/>
        <w:br/>
        <w:t xml:space="preserve">From materials and equipment to end-use applications, TaipeiPLAS 2026 connects the industry value chain and global markets through diverse programs, showcasing the innovation and resilience of Taiwan's plastics and rubber industry. </w:t>
        <w:br/>
        <w:br/>
        <w:t xml:space="preserve">Visitor registration is now available on the official website at </w:t>
      </w:r>
      <w:hyperlink r:id="rId3" w:tgtFrame="_blank">
        <w:r>
          <w:rPr>
            <w:rStyle w:val="Style3"/>
            <w:color w:val="0000EE"/>
            <w:u w:val="single" w:color="0000EE"/>
            <w:lang w:val="en-US" w:eastAsia="en-US"/>
          </w:rPr>
          <w:t>www.taipeiplas.com.tw</w:t>
        </w:r>
      </w:hyperlink>
      <w:r>
        <w:rPr>
          <w:lang w:val="en-US" w:eastAsia="en-US"/>
        </w:rPr>
        <w:t xml:space="preserve">. For the latest information, stay tuned to the official website, social media, and subscribe to the newsletter. </w:t>
      </w:r>
    </w:p>
    <w:sectPr>
      <w:type w:val="nextPage"/>
      <w:pgSz w:w="12240" w:h="15840"/>
      <w:pgMar w:left="1440" w:right="1440" w:gutter="0" w:header="0" w:top="1440" w:footer="0" w:bottom="144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88"/>
    <w:family w:val="roman"/>
    <w:pitch w:val="variable"/>
  </w:font>
  <w:font w:name="Times New Roman">
    <w:charset w:val="88"/>
    <w:family w:val="roman"/>
    <w:pitch w:val="variable"/>
  </w:font>
  <w:font w:name="Liberation Sans">
    <w:altName w:val="Arial"/>
    <w:charset w:val="88"/>
    <w:family w:val="swiss"/>
    <w:pitch w:val="variable"/>
  </w:font>
</w:fonts>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Noto Serif TC" w:cs="Lucida Sans"/>
        <w:lang w:val="en-US" w:eastAsia="zh-TW" w:bidi="hi-IN"/>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805bce"/>
    <w:pPr>
      <w:widowControl/>
      <w:bidi w:val="0"/>
      <w:spacing w:before="0" w:after="0"/>
      <w:jc w:val="left"/>
    </w:pPr>
    <w:rPr>
      <w:rFonts w:ascii="Times New Roman" w:hAnsi="Times New Roman" w:eastAsia="Noto Serif TC" w:cs="Lucida Sans"/>
      <w:color w:val="auto"/>
      <w:kern w:val="0"/>
      <w:sz w:val="24"/>
      <w:szCs w:val="24"/>
      <w:lang w:val="en-US" w:eastAsia="zh-TW" w:bidi="hi-IN"/>
    </w:rPr>
  </w:style>
  <w:style w:type="paragraph" w:styleId="Heading1">
    <w:name w:val="heading 1"/>
    <w:basedOn w:val="Normal"/>
    <w:next w:val="Normal"/>
    <w:qFormat/>
    <w:rsid w:val="00ef7b96"/>
    <w:pPr>
      <w:keepNext w:val="true"/>
      <w:spacing w:before="240" w:after="60"/>
      <w:outlineLvl w:val="0"/>
    </w:pPr>
    <w:rPr>
      <w:rFonts w:ascii="Times New Roman" w:hAnsi="Times New Roman" w:eastAsia="Times New Roman" w:cs="Times New Roman"/>
      <w:b/>
      <w:bCs/>
      <w:i w:val="false"/>
      <w:kern w:val="2"/>
      <w:sz w:val="48"/>
      <w:szCs w:val="48"/>
    </w:rPr>
  </w:style>
  <w:style w:type="paragraph" w:styleId="Heading2">
    <w:name w:val="heading 2"/>
    <w:basedOn w:val="Normal"/>
    <w:next w:val="Normal"/>
    <w:qFormat/>
    <w:rsid w:val="00ef7b96"/>
    <w:pPr>
      <w:keepNext w:val="true"/>
      <w:spacing w:before="240" w:after="60"/>
      <w:outlineLvl w:val="1"/>
    </w:pPr>
    <w:rPr>
      <w:rFonts w:ascii="Times New Roman" w:hAnsi="Times New Roman" w:eastAsia="Times New Roman" w:cs="Times New Roman"/>
      <w:b/>
      <w:bCs/>
      <w:i w:val="false"/>
      <w:iCs/>
      <w:sz w:val="36"/>
      <w:szCs w:val="36"/>
    </w:rPr>
  </w:style>
  <w:style w:type="paragraph" w:styleId="Heading3">
    <w:name w:val="heading 3"/>
    <w:basedOn w:val="Normal"/>
    <w:next w:val="Normal"/>
    <w:qFormat/>
    <w:rsid w:val="00ef7b96"/>
    <w:pPr>
      <w:keepNext w:val="true"/>
      <w:spacing w:before="240" w:after="60"/>
      <w:outlineLvl w:val="2"/>
    </w:pPr>
    <w:rPr>
      <w:rFonts w:ascii="Times New Roman" w:hAnsi="Times New Roman" w:eastAsia="Times New Roman" w:cs="Times New Roman"/>
      <w:b/>
      <w:bCs/>
      <w:i w:val="false"/>
      <w:sz w:val="28"/>
      <w:szCs w:val="28"/>
    </w:rPr>
  </w:style>
  <w:style w:type="paragraph" w:styleId="Heading4">
    <w:name w:val="heading 4"/>
    <w:basedOn w:val="Normal"/>
    <w:next w:val="Normal"/>
    <w:qFormat/>
    <w:rsid w:val="00ef7b96"/>
    <w:pPr>
      <w:keepNext w:val="true"/>
      <w:spacing w:before="240" w:after="60"/>
      <w:outlineLvl w:val="3"/>
    </w:pPr>
    <w:rPr>
      <w:rFonts w:ascii="Times New Roman" w:hAnsi="Times New Roman" w:eastAsia="Times New Roman" w:cs="Times New Roman"/>
      <w:b/>
      <w:bCs/>
      <w:i w:val="false"/>
      <w:sz w:val="24"/>
      <w:szCs w:val="24"/>
    </w:rPr>
  </w:style>
  <w:style w:type="paragraph" w:styleId="Heading5">
    <w:name w:val="heading 5"/>
    <w:basedOn w:val="Normal"/>
    <w:next w:val="Normal"/>
    <w:qFormat/>
    <w:rsid w:val="00ef7b96"/>
    <w:pPr>
      <w:spacing w:before="240" w:after="60"/>
      <w:outlineLvl w:val="4"/>
    </w:pPr>
    <w:rPr>
      <w:rFonts w:ascii="Times New Roman" w:hAnsi="Times New Roman" w:eastAsia="Times New Roman" w:cs="Times New Roman"/>
      <w:b/>
      <w:bCs/>
      <w:i w:val="false"/>
      <w:iCs/>
      <w:sz w:val="20"/>
      <w:szCs w:val="20"/>
    </w:rPr>
  </w:style>
  <w:style w:type="paragraph" w:styleId="Heading6">
    <w:name w:val="heading 6"/>
    <w:basedOn w:val="Normal"/>
    <w:next w:val="Normal"/>
    <w:qFormat/>
    <w:rsid w:val="00ef7b96"/>
    <w:pPr>
      <w:spacing w:before="240" w:after="60"/>
      <w:outlineLvl w:val="5"/>
    </w:pPr>
    <w:rPr>
      <w:rFonts w:ascii="Times New Roman" w:hAnsi="Times New Roman" w:eastAsia="Times New Roman" w:cs="Times New Roman"/>
      <w:b/>
      <w:bCs/>
      <w:i w:val="false"/>
      <w:sz w:val="16"/>
      <w:szCs w:val="16"/>
    </w:rPr>
  </w:style>
  <w:style w:type="character" w:styleId="DefaultParagraphFont" w:default="1">
    <w:name w:val="Default Paragraph Font"/>
    <w:semiHidden/>
    <w:qFormat/>
    <w:rPr/>
  </w:style>
  <w:style w:type="character" w:styleId="Hyperlink">
    <w:name w:val="Hyperlink"/>
    <w:rPr>
      <w:color w:val="000080"/>
      <w:u w:val="single"/>
    </w:rPr>
  </w:style>
  <w:style w:type="paragraph" w:styleId="Style8">
    <w:name w:val="標題"/>
    <w:basedOn w:val="Normal"/>
    <w:next w:val="BodyText"/>
    <w:qFormat/>
    <w:pPr>
      <w:keepNext w:val="true"/>
      <w:spacing w:before="240" w:after="120"/>
    </w:pPr>
    <w:rPr>
      <w:rFonts w:ascii="Liberation Sans" w:hAnsi="Liberation Sans" w:eastAsia="思源黑體"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Style9">
    <w:name w:val="索引"/>
    <w:basedOn w:val="Normal"/>
    <w:qFormat/>
    <w:pPr>
      <w:suppressLineNumbers/>
    </w:pPr>
    <w:rPr>
      <w:rFonts w:cs="Lucida 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reurl.cc/1l3KoV" TargetMode="External"/><Relationship Id="rId3" Type="http://schemas.openxmlformats.org/officeDocument/2006/relationships/hyperlink" Target="http://www.taipeiplas.com.tw/" TargetMode="Externa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TotalTime>
  <Application>LibreOffice/26.2.5.2$Windows_X86_64 LibreOffice_project/cd7284b4cbbfeb507e630c1aac019f4157393acb</Application>
  <AppVersion>15.0000</AppVersion>
  <Pages>2</Pages>
  <Words>449</Words>
  <Characters>2885</Characters>
  <CharactersWithSpaces>3337</CharactersWithSpaces>
  <Paragraphs>11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zh-TW</dc:language>
  <cp:lastModifiedBy/>
  <dcterms:modified xsi:type="dcterms:W3CDTF">2026-08-30T22:12:06Z</dcterms:modified>
  <cp:revision>1</cp:revision>
  <dc:subject/>
  <dc:title>TaipeiPLAS 2026 Unveils Diverse Events</dc:title>
</cp:coreProperties>
</file>

<file path=docProps/custom.xml><?xml version="1.0" encoding="utf-8"?>
<Properties xmlns="http://schemas.openxmlformats.org/officeDocument/2006/custom-properties" xmlns:vt="http://schemas.openxmlformats.org/officeDocument/2006/docPropsVTypes"/>
</file>